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342D" w14:textId="77777777" w:rsidR="007E4A76" w:rsidRPr="00456F45" w:rsidRDefault="007E4A76" w:rsidP="0071289F">
      <w:pPr>
        <w:pStyle w:val="BoxKopf"/>
        <w:pBdr>
          <w:top w:val="none" w:sz="0" w:space="0" w:color="auto"/>
          <w:left w:val="none" w:sz="0" w:space="0" w:color="auto"/>
          <w:right w:val="none" w:sz="0" w:space="0" w:color="auto"/>
        </w:pBdr>
        <w:shd w:val="clear" w:color="auto" w:fill="auto"/>
        <w:rPr>
          <w:rFonts w:asciiTheme="minorHAnsi" w:hAnsiTheme="minorHAnsi" w:cstheme="minorHAnsi"/>
        </w:rPr>
      </w:pPr>
    </w:p>
    <w:p w14:paraId="33F7882D" w14:textId="77777777" w:rsidR="007E4A76" w:rsidRPr="00456F45" w:rsidRDefault="007E4A76" w:rsidP="0071289F">
      <w:pPr>
        <w:pStyle w:val="RandzifferMuster"/>
        <w:framePr w:wrap="around"/>
        <w:numPr>
          <w:ilvl w:val="0"/>
          <w:numId w:val="0"/>
        </w:numPr>
        <w:rPr>
          <w:rFonts w:asciiTheme="minorHAnsi" w:hAnsiTheme="minorHAnsi" w:cstheme="minorHAnsi"/>
        </w:rPr>
      </w:pPr>
    </w:p>
    <w:p w14:paraId="3A2FFA7E"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[Briefkopf Anwaltskanzlei]</w:t>
      </w:r>
    </w:p>
    <w:p w14:paraId="5DA98CF0"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4C90B2DF"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t>Einschreiben</w:t>
      </w:r>
    </w:p>
    <w:p w14:paraId="662AED20"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t>Bundespatentgericht</w:t>
      </w:r>
    </w:p>
    <w:p w14:paraId="17D7D5D8"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t>St. Leonhardstrasse 49</w:t>
      </w:r>
    </w:p>
    <w:p w14:paraId="4E33848D"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t>Postfach</w:t>
      </w:r>
    </w:p>
    <w:p w14:paraId="29710132"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t>9023 St. Gallen</w:t>
      </w:r>
    </w:p>
    <w:p w14:paraId="6F47AB2F"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2B7F29FA"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t xml:space="preserve">[Ort], [Datum] </w:t>
      </w:r>
    </w:p>
    <w:p w14:paraId="487A380F"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13C561EE"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b/>
        </w:rPr>
      </w:pPr>
      <w:r w:rsidRPr="00456F45">
        <w:rPr>
          <w:rFonts w:asciiTheme="minorHAnsi" w:hAnsiTheme="minorHAnsi" w:cstheme="minorHAnsi"/>
          <w:b/>
        </w:rPr>
        <w:t>Patentverletzung –  Gesuch um Anordnung vorsorglicher Massnahmen</w:t>
      </w:r>
    </w:p>
    <w:p w14:paraId="164AB012"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4A515664"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[Anrede]</w:t>
      </w:r>
    </w:p>
    <w:p w14:paraId="2D6C087B"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In Sachen</w:t>
      </w:r>
    </w:p>
    <w:p w14:paraId="248E1B78"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7AC09AB0"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 xml:space="preserve">[Vorname] [Name] </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Gesuchstellerin</w:t>
      </w:r>
    </w:p>
    <w:p w14:paraId="49FB58CF"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[Adresse], [Ort], USA</w:t>
      </w:r>
    </w:p>
    <w:p w14:paraId="4A8AD53D"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vertreten durch Rechtsanwalt [Vorname] [Name], [Adresse], [Ort]</w:t>
      </w:r>
    </w:p>
    <w:p w14:paraId="4B236F68"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mitwirkender Patentanwalt [Vorname] [Name], [Adresse], [Ort]</w:t>
      </w:r>
    </w:p>
    <w:p w14:paraId="2975D85A"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Bemerkung 1:</w:t>
      </w:r>
      <w:r w:rsidRPr="00456F45">
        <w:rPr>
          <w:rFonts w:asciiTheme="minorHAnsi" w:hAnsiTheme="minorHAnsi" w:cstheme="minorHAnsi"/>
        </w:rPr>
        <w:t xml:space="preserve"> Es ist üblich, den mitwirkenden Patentanwalt bereits im Rubrum aufzuführen, im Wesentlichen im Hinblick auf die Entschädigung für dessen Kosten sowie im Sinne der Offenlegung der Mitautorschaft. </w:t>
      </w:r>
    </w:p>
    <w:p w14:paraId="28F9B9EE"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0F5EB302"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gegen </w:t>
      </w:r>
      <w:r w:rsidRPr="00456F45">
        <w:rPr>
          <w:rFonts w:asciiTheme="minorHAnsi" w:hAnsiTheme="minorHAnsi" w:cstheme="minorHAnsi"/>
        </w:rPr>
        <w:tab/>
      </w:r>
      <w:r w:rsidRPr="00456F45">
        <w:rPr>
          <w:rFonts w:asciiTheme="minorHAnsi" w:hAnsiTheme="minorHAnsi" w:cstheme="minorHAnsi"/>
        </w:rPr>
        <w:tab/>
      </w:r>
    </w:p>
    <w:p w14:paraId="3F061B82"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p>
    <w:p w14:paraId="685A2483"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[Firma der Gesellschaft]</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proofErr w:type="spellStart"/>
      <w:r w:rsidRPr="00456F45">
        <w:rPr>
          <w:rFonts w:asciiTheme="minorHAnsi" w:hAnsiTheme="minorHAnsi" w:cstheme="minorHAnsi"/>
          <w:b/>
        </w:rPr>
        <w:t>Gesuchsgegnerin</w:t>
      </w:r>
      <w:proofErr w:type="spellEnd"/>
      <w:r w:rsidRPr="00456F45">
        <w:rPr>
          <w:rFonts w:asciiTheme="minorHAnsi" w:hAnsiTheme="minorHAnsi" w:cstheme="minorHAnsi"/>
          <w:b/>
        </w:rPr>
        <w:t xml:space="preserve"> 1</w:t>
      </w:r>
    </w:p>
    <w:p w14:paraId="6537B112"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[Adresse], [Ort], Schweiz</w:t>
      </w:r>
    </w:p>
    <w:p w14:paraId="2490E691" w14:textId="77777777" w:rsidR="008E2C5B" w:rsidRPr="00456F45" w:rsidRDefault="008E2C5B" w:rsidP="0071289F">
      <w:pPr>
        <w:pStyle w:val="Mustertext"/>
        <w:pBdr>
          <w:left w:val="none" w:sz="0" w:space="0" w:color="auto"/>
          <w:right w:val="none" w:sz="0" w:space="0" w:color="auto"/>
        </w:pBdr>
        <w:shd w:val="clear" w:color="auto" w:fill="auto"/>
        <w:rPr>
          <w:rFonts w:asciiTheme="minorHAnsi" w:hAnsiTheme="minorHAnsi" w:cstheme="minorHAnsi"/>
        </w:rPr>
      </w:pPr>
    </w:p>
    <w:p w14:paraId="65EA1926"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und </w:t>
      </w:r>
    </w:p>
    <w:p w14:paraId="60D3A3CA" w14:textId="77777777" w:rsidR="008E2C5B" w:rsidRPr="00456F45" w:rsidRDefault="008E2C5B" w:rsidP="0071289F">
      <w:pPr>
        <w:pStyle w:val="Mustertext"/>
        <w:pBdr>
          <w:left w:val="none" w:sz="0" w:space="0" w:color="auto"/>
          <w:right w:val="none" w:sz="0" w:space="0" w:color="auto"/>
        </w:pBdr>
        <w:shd w:val="clear" w:color="auto" w:fill="auto"/>
        <w:rPr>
          <w:rFonts w:asciiTheme="minorHAnsi" w:hAnsiTheme="minorHAnsi" w:cstheme="minorHAnsi"/>
          <w:b/>
        </w:rPr>
      </w:pPr>
    </w:p>
    <w:p w14:paraId="323F662F"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[Firma der Gesellschaft]</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proofErr w:type="spellStart"/>
      <w:r w:rsidRPr="00456F45">
        <w:rPr>
          <w:rFonts w:asciiTheme="minorHAnsi" w:hAnsiTheme="minorHAnsi" w:cstheme="minorHAnsi"/>
          <w:b/>
        </w:rPr>
        <w:t>Gesuchsgegnerin</w:t>
      </w:r>
      <w:proofErr w:type="spellEnd"/>
      <w:r w:rsidRPr="00456F45">
        <w:rPr>
          <w:rFonts w:asciiTheme="minorHAnsi" w:hAnsiTheme="minorHAnsi" w:cstheme="minorHAnsi"/>
          <w:b/>
        </w:rPr>
        <w:t xml:space="preserve"> 2</w:t>
      </w:r>
    </w:p>
    <w:p w14:paraId="453FDED5"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[Adresse], [Ort], Schweiz</w:t>
      </w:r>
    </w:p>
    <w:p w14:paraId="3E546F57"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Bemerkung 2:</w:t>
      </w:r>
      <w:r w:rsidRPr="00456F45">
        <w:rPr>
          <w:rFonts w:asciiTheme="minorHAnsi" w:hAnsiTheme="minorHAnsi" w:cstheme="minorHAnsi"/>
        </w:rPr>
        <w:t xml:space="preserve"> Der Patentinhaber kann im Falle von mehreren </w:t>
      </w:r>
      <w:proofErr w:type="spellStart"/>
      <w:r w:rsidRPr="00456F45">
        <w:rPr>
          <w:rFonts w:asciiTheme="minorHAnsi" w:hAnsiTheme="minorHAnsi" w:cstheme="minorHAnsi"/>
        </w:rPr>
        <w:t>Verletzern</w:t>
      </w:r>
      <w:proofErr w:type="spellEnd"/>
      <w:r w:rsidRPr="00456F45">
        <w:rPr>
          <w:rFonts w:asciiTheme="minorHAnsi" w:hAnsiTheme="minorHAnsi" w:cstheme="minorHAnsi"/>
        </w:rPr>
        <w:t xml:space="preserve"> auch seine Massnahmen-Ansprüche jedem </w:t>
      </w:r>
      <w:proofErr w:type="spellStart"/>
      <w:r w:rsidRPr="00456F45">
        <w:rPr>
          <w:rFonts w:asciiTheme="minorHAnsi" w:hAnsiTheme="minorHAnsi" w:cstheme="minorHAnsi"/>
        </w:rPr>
        <w:t>Verletzer</w:t>
      </w:r>
      <w:proofErr w:type="spellEnd"/>
      <w:r w:rsidRPr="00456F45">
        <w:rPr>
          <w:rFonts w:asciiTheme="minorHAnsi" w:hAnsiTheme="minorHAnsi" w:cstheme="minorHAnsi"/>
        </w:rPr>
        <w:t xml:space="preserve"> gegenüber selbständig geltend machen. Der Patentinhaber hat </w:t>
      </w:r>
      <w:r w:rsidRPr="00456F45">
        <w:rPr>
          <w:rFonts w:asciiTheme="minorHAnsi" w:hAnsiTheme="minorHAnsi" w:cstheme="minorHAnsi"/>
        </w:rPr>
        <w:lastRenderedPageBreak/>
        <w:t xml:space="preserve">selbständige Ansprüche gegen den Hersteller, jeden Händler und den gewerblichen Benützer. Es steht in seiner freien Wahl, nur einen, mehrere oder alle rechtlich zu verfolgen.  </w:t>
      </w:r>
    </w:p>
    <w:p w14:paraId="48402DE7"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p>
    <w:p w14:paraId="612DD3D4"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b/>
        </w:rPr>
      </w:pPr>
      <w:r w:rsidRPr="00456F45">
        <w:rPr>
          <w:rFonts w:asciiTheme="minorHAnsi" w:hAnsiTheme="minorHAnsi" w:cstheme="minorHAnsi"/>
          <w:b/>
        </w:rPr>
        <w:t>betreffend Anordnung vorsorglicher Massnahmen (Unterlassung der Patentverletzung)</w:t>
      </w:r>
    </w:p>
    <w:p w14:paraId="36244ED9"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29F1A4B7"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stelle ich namens und im Auftrag der Gesuchstellerin folgende</w:t>
      </w:r>
    </w:p>
    <w:p w14:paraId="3648B7B4"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1EBC4936"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b/>
          <w:caps/>
        </w:rPr>
      </w:pPr>
      <w:r w:rsidRPr="00456F45">
        <w:rPr>
          <w:rFonts w:asciiTheme="minorHAnsi" w:hAnsiTheme="minorHAnsi" w:cstheme="minorHAnsi"/>
          <w:b/>
          <w:caps/>
        </w:rPr>
        <w:t>Rechtsbegehren</w:t>
      </w:r>
    </w:p>
    <w:p w14:paraId="385167C5"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Den Gesuchstellerinnen sei unter Androhung einer Ordnungsbusse von CHF 500.00 pro Tag nach Art. 343 Abs. 1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c ZPO, mindestens aber CHF 5'000.00 gemäss Art. 343 Abs. 1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b ZPO, sowie der Bestrafung ihrer Organe nach Art. 292 StGB mit Busse im Widerhandlungsfall vorsorglich zu verbieten, ein Mittel zur Behandlung von Kopfläusen, enthaltend 45.5% Sojaöl, 53% Kokosnussöl und 1.5% eines </w:t>
      </w:r>
      <w:proofErr w:type="spellStart"/>
      <w:r w:rsidRPr="00456F45">
        <w:rPr>
          <w:rFonts w:asciiTheme="minorHAnsi" w:hAnsiTheme="minorHAnsi" w:cstheme="minorHAnsi"/>
        </w:rPr>
        <w:t>ethanolischen</w:t>
      </w:r>
      <w:proofErr w:type="spellEnd"/>
      <w:r w:rsidRPr="00456F45">
        <w:rPr>
          <w:rFonts w:asciiTheme="minorHAnsi" w:hAnsiTheme="minorHAnsi" w:cstheme="minorHAnsi"/>
        </w:rPr>
        <w:t xml:space="preserve"> Extraktes von Zitronenmelisse in der Schweiz herzustellen, herstellen zu lassen, zu lagern, anzubieten, in den Verkehr zu bringen, zu verkaufen oder zu einem der genannten Zwecke einzuführen oder auszuführen;</w:t>
      </w:r>
    </w:p>
    <w:p w14:paraId="2606D187"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alles unter Kosten</w:t>
      </w:r>
      <w:r w:rsidRPr="00456F45">
        <w:rPr>
          <w:rFonts w:asciiTheme="minorHAnsi" w:hAnsiTheme="minorHAnsi" w:cstheme="minorHAnsi"/>
        </w:rPr>
        <w:noBreakHyphen/>
        <w:t xml:space="preserve"> und Entschädigungsfolgen zulasten der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w:t>
      </w:r>
    </w:p>
    <w:p w14:paraId="6EA0DD2A"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Bemerkung 3:</w:t>
      </w:r>
      <w:r w:rsidRPr="00456F45">
        <w:rPr>
          <w:rFonts w:asciiTheme="minorHAnsi" w:hAnsiTheme="minorHAnsi" w:cstheme="minorHAnsi"/>
        </w:rPr>
        <w:t xml:space="preserve"> Das Gesuch (Rechtsbegehren Ziff. 1) muss wie in der Hauptklage die konkrete Verletzungsform nennen bzw. umschreiben.</w:t>
      </w:r>
    </w:p>
    <w:p w14:paraId="2C518C25"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4F7A32E5"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b/>
          <w:caps/>
        </w:rPr>
      </w:pPr>
      <w:r w:rsidRPr="00456F45">
        <w:rPr>
          <w:rFonts w:asciiTheme="minorHAnsi" w:hAnsiTheme="minorHAnsi" w:cstheme="minorHAnsi"/>
          <w:b/>
          <w:caps/>
        </w:rPr>
        <w:t>Begründung</w:t>
      </w:r>
    </w:p>
    <w:p w14:paraId="1DFF51A9" w14:textId="77777777" w:rsidR="007E4A76" w:rsidRPr="00456F45" w:rsidRDefault="007E4A76" w:rsidP="0071289F">
      <w:pPr>
        <w:pStyle w:val="MustertextTitelEbene1"/>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I.</w:t>
      </w:r>
      <w:r w:rsidRPr="00456F45">
        <w:rPr>
          <w:rFonts w:asciiTheme="minorHAnsi" w:hAnsiTheme="minorHAnsi" w:cstheme="minorHAnsi"/>
        </w:rPr>
        <w:tab/>
        <w:t>Formelles</w:t>
      </w:r>
    </w:p>
    <w:p w14:paraId="66EC8B65" w14:textId="77777777" w:rsidR="007E4A76" w:rsidRPr="00456F45" w:rsidRDefault="007E4A76" w:rsidP="0071289F">
      <w:pPr>
        <w:pStyle w:val="MustertextListe0"/>
        <w:numPr>
          <w:ilvl w:val="1"/>
          <w:numId w:val="32"/>
        </w:numPr>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Der Unterzeichnete ist von der Klägerin bevollmächtigt.</w:t>
      </w:r>
    </w:p>
    <w:p w14:paraId="1BAC9B14"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BO:</w:t>
      </w:r>
      <w:r w:rsidRPr="00456F45">
        <w:rPr>
          <w:rFonts w:asciiTheme="minorHAnsi" w:hAnsiTheme="minorHAnsi" w:cstheme="minorHAnsi"/>
        </w:rPr>
        <w:t xml:space="preserve"> Vollmacht vom [Datum]</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1</w:t>
      </w:r>
    </w:p>
    <w:p w14:paraId="47C60BA2"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w:t>
      </w:r>
      <w:r w:rsidRPr="00456F45">
        <w:rPr>
          <w:rFonts w:asciiTheme="minorHAnsi" w:hAnsiTheme="minorHAnsi" w:cstheme="minorHAnsi"/>
        </w:rPr>
        <w:tab/>
        <w:t>Prozessvoraussetzungen</w:t>
      </w:r>
    </w:p>
    <w:p w14:paraId="13B916A1"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Die Klägerin hat ihren Sitz in den USA. Sowohl die Beklagte 1 als auch die Beklagte 2 haben ihren Sitz in der Schweiz. Damit liegt ein internationaler Sachverhalt vor. Die örtliche Zuständigkeit des angerufenen Gerichts ergibt sich aus Art. 1 Abs. 1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a und Art. 1 Abs. 2 sowie Art. 109 Abs. 2 des Bundesgesetzes über das Internationale Privatrecht (IPRG). </w:t>
      </w:r>
    </w:p>
    <w:p w14:paraId="3EA5CA9F"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BO:</w:t>
      </w:r>
      <w:r w:rsidRPr="00456F45">
        <w:rPr>
          <w:rFonts w:asciiTheme="minorHAnsi" w:hAnsiTheme="minorHAnsi" w:cstheme="minorHAnsi"/>
        </w:rPr>
        <w:t xml:space="preserve"> Handelsregisterauszug der Klägerin</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2</w:t>
      </w:r>
    </w:p>
    <w:p w14:paraId="795B0F13"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355E3986"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BO:</w:t>
      </w:r>
      <w:r w:rsidRPr="00456F45">
        <w:rPr>
          <w:rFonts w:asciiTheme="minorHAnsi" w:hAnsiTheme="minorHAnsi" w:cstheme="minorHAnsi"/>
        </w:rPr>
        <w:t xml:space="preserve"> Handelsregisterauszug der Beklagten 1</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3</w:t>
      </w:r>
    </w:p>
    <w:p w14:paraId="7AD199A0"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55FF880F"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BO:</w:t>
      </w:r>
      <w:r w:rsidRPr="00456F45">
        <w:rPr>
          <w:rFonts w:asciiTheme="minorHAnsi" w:hAnsiTheme="minorHAnsi" w:cstheme="minorHAnsi"/>
        </w:rPr>
        <w:t xml:space="preserve"> Handelsregisterauszug der Beklagten 2</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4</w:t>
      </w:r>
    </w:p>
    <w:p w14:paraId="471387E2"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Die sachliche Zuständigkeit des Bundespatentgerichts ergibt sich aus Art. 26 Abs. 1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a </w:t>
      </w:r>
      <w:proofErr w:type="spellStart"/>
      <w:r w:rsidRPr="00456F45">
        <w:rPr>
          <w:rFonts w:asciiTheme="minorHAnsi" w:hAnsiTheme="minorHAnsi" w:cstheme="minorHAnsi"/>
        </w:rPr>
        <w:t>PatGG</w:t>
      </w:r>
      <w:proofErr w:type="spellEnd"/>
      <w:r w:rsidRPr="00456F45">
        <w:rPr>
          <w:rFonts w:asciiTheme="minorHAnsi" w:hAnsiTheme="minorHAnsi" w:cstheme="minorHAnsi"/>
        </w:rPr>
        <w:t xml:space="preserve">. </w:t>
      </w:r>
    </w:p>
    <w:p w14:paraId="5350BA2C"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 xml:space="preserve">Bemerkung 4: </w:t>
      </w:r>
      <w:r w:rsidRPr="00456F45">
        <w:rPr>
          <w:rFonts w:asciiTheme="minorHAnsi" w:hAnsiTheme="minorHAnsi" w:cstheme="minorHAnsi"/>
        </w:rPr>
        <w:t xml:space="preserve">Die örtliche Zuständigkeit der Schweizer Gerichte ist in aller Regel gegeben, wenn das Klagepatent für das Gebiet der Schweiz erteilt ist und der Beklagte Sitz in der Schweiz hat. Daraus folgt dann auch die sachliche Zuständigkeit des Bundespatentgerichts. Die örtliche Zuständigkeit ist allerdings komplex und unübersichtlich geregelt, weil sich internationale </w:t>
      </w:r>
      <w:proofErr w:type="spellStart"/>
      <w:r w:rsidRPr="00456F45">
        <w:rPr>
          <w:rFonts w:asciiTheme="minorHAnsi" w:hAnsiTheme="minorHAnsi" w:cstheme="minorHAnsi"/>
        </w:rPr>
        <w:t>Gerichtsstandsvorschriften</w:t>
      </w:r>
      <w:proofErr w:type="spellEnd"/>
      <w:r w:rsidRPr="00456F45">
        <w:rPr>
          <w:rFonts w:asciiTheme="minorHAnsi" w:hAnsiTheme="minorHAnsi" w:cstheme="minorHAnsi"/>
        </w:rPr>
        <w:t xml:space="preserve"> gemäss IPRG und gemäss </w:t>
      </w:r>
      <w:proofErr w:type="spellStart"/>
      <w:r w:rsidRPr="00456F45">
        <w:rPr>
          <w:rFonts w:asciiTheme="minorHAnsi" w:hAnsiTheme="minorHAnsi" w:cstheme="minorHAnsi"/>
        </w:rPr>
        <w:t>LugÜ</w:t>
      </w:r>
      <w:proofErr w:type="spellEnd"/>
      <w:r w:rsidRPr="00456F45">
        <w:rPr>
          <w:rFonts w:asciiTheme="minorHAnsi" w:hAnsiTheme="minorHAnsi" w:cstheme="minorHAnsi"/>
        </w:rPr>
        <w:t xml:space="preserve"> (Übereinkommen über die gerichtliche Zuständigkeit und die Anerkennung und Vollstreckung von Entscheiden in Zivil- und Handelssachen vom 30. Oktober 2007) überlagern, und weil je nachdem immer oder nur subsidiär auch am </w:t>
      </w:r>
      <w:proofErr w:type="spellStart"/>
      <w:r w:rsidRPr="00456F45">
        <w:rPr>
          <w:rFonts w:asciiTheme="minorHAnsi" w:hAnsiTheme="minorHAnsi" w:cstheme="minorHAnsi"/>
        </w:rPr>
        <w:t>Handlungs</w:t>
      </w:r>
      <w:proofErr w:type="spellEnd"/>
      <w:r w:rsidRPr="00456F45">
        <w:rPr>
          <w:rFonts w:asciiTheme="minorHAnsi" w:hAnsiTheme="minorHAnsi" w:cstheme="minorHAnsi"/>
        </w:rPr>
        <w:noBreakHyphen/>
        <w:t xml:space="preserve"> oder Erfolgsort geklagt werden kann (vgl. Heinrich, PatG/EPÜ, Art. 75 PatG N 54 ff.). Weil die Rechtslage mehrfach geändert hat (</w:t>
      </w:r>
      <w:proofErr w:type="spellStart"/>
      <w:r w:rsidRPr="00456F45">
        <w:rPr>
          <w:rFonts w:asciiTheme="minorHAnsi" w:hAnsiTheme="minorHAnsi" w:cstheme="minorHAnsi"/>
        </w:rPr>
        <w:t>eidgZPO</w:t>
      </w:r>
      <w:proofErr w:type="spellEnd"/>
      <w:r w:rsidRPr="00456F45">
        <w:rPr>
          <w:rFonts w:asciiTheme="minorHAnsi" w:hAnsiTheme="minorHAnsi" w:cstheme="minorHAnsi"/>
        </w:rPr>
        <w:t xml:space="preserve">, neues </w:t>
      </w:r>
      <w:proofErr w:type="spellStart"/>
      <w:r w:rsidRPr="00456F45">
        <w:rPr>
          <w:rFonts w:asciiTheme="minorHAnsi" w:hAnsiTheme="minorHAnsi" w:cstheme="minorHAnsi"/>
        </w:rPr>
        <w:t>LugÜ</w:t>
      </w:r>
      <w:proofErr w:type="spellEnd"/>
      <w:r w:rsidRPr="00456F45">
        <w:rPr>
          <w:rFonts w:asciiTheme="minorHAnsi" w:hAnsiTheme="minorHAnsi" w:cstheme="minorHAnsi"/>
        </w:rPr>
        <w:t xml:space="preserve">, revidiertes IPRG), und weil die Rechtsprechung des EuGH auch </w:t>
      </w:r>
      <w:r w:rsidRPr="00456F45">
        <w:rPr>
          <w:rFonts w:asciiTheme="minorHAnsi" w:hAnsiTheme="minorHAnsi" w:cstheme="minorHAnsi"/>
        </w:rPr>
        <w:lastRenderedPageBreak/>
        <w:t xml:space="preserve">in der Schweiz für die Anwendung des </w:t>
      </w:r>
      <w:proofErr w:type="spellStart"/>
      <w:r w:rsidRPr="00456F45">
        <w:rPr>
          <w:rFonts w:asciiTheme="minorHAnsi" w:hAnsiTheme="minorHAnsi" w:cstheme="minorHAnsi"/>
        </w:rPr>
        <w:t>LugÜ</w:t>
      </w:r>
      <w:proofErr w:type="spellEnd"/>
      <w:r w:rsidRPr="00456F45">
        <w:rPr>
          <w:rFonts w:asciiTheme="minorHAnsi" w:hAnsiTheme="minorHAnsi" w:cstheme="minorHAnsi"/>
        </w:rPr>
        <w:t xml:space="preserve"> beachtlich ist, müssen gerichtliche Entscheidungen mit Sorgfalt in Betracht gezogen werden.   </w:t>
      </w:r>
    </w:p>
    <w:p w14:paraId="5B03185A"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B.</w:t>
      </w:r>
      <w:r w:rsidRPr="00456F45">
        <w:rPr>
          <w:rFonts w:asciiTheme="minorHAnsi" w:hAnsiTheme="minorHAnsi" w:cstheme="minorHAnsi"/>
        </w:rPr>
        <w:tab/>
        <w:t>Streitwert</w:t>
      </w:r>
    </w:p>
    <w:p w14:paraId="20CA23E4"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Der Streitwert ist vorliegend schwer abzuschätzen, weil er «nur» das Verbot bis zur Gutheissung der anschliessenden Hauptklage betrifft, und weil der Umfang der patentverletzenden Tätigkeit der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noch nicht bekannt ist. Der Umsatzrückgang der Gesuchstellerin beträgt CHF 100‘000.00, der Umsatz der Beklagten wird geschätzt auf CHF 80‘000.00, beides bezogen auf die Zeit zwischen erster Inverkehrbringung am 15. Juni 2015 und Einleitung des vorliegenden Gesuchs. Die Verfahrensdauer sowohl des </w:t>
      </w:r>
      <w:proofErr w:type="spellStart"/>
      <w:r w:rsidRPr="00456F45">
        <w:rPr>
          <w:rFonts w:asciiTheme="minorHAnsi" w:hAnsiTheme="minorHAnsi" w:cstheme="minorHAnsi"/>
        </w:rPr>
        <w:t>Massnahmeverfahrens</w:t>
      </w:r>
      <w:proofErr w:type="spellEnd"/>
      <w:r w:rsidRPr="00456F45">
        <w:rPr>
          <w:rFonts w:asciiTheme="minorHAnsi" w:hAnsiTheme="minorHAnsi" w:cstheme="minorHAnsi"/>
        </w:rPr>
        <w:t xml:space="preserve"> als auch des Hauptverfahrens ist unbekannt. Die Gesuchstellerin schätzt daher den Streitwert auf CHF [</w:t>
      </w:r>
      <w:proofErr w:type="spellStart"/>
      <w:r w:rsidRPr="00456F45">
        <w:rPr>
          <w:rFonts w:asciiTheme="minorHAnsi" w:hAnsiTheme="minorHAnsi" w:cstheme="minorHAnsi"/>
        </w:rPr>
        <w:t>zzz'zzz</w:t>
      </w:r>
      <w:proofErr w:type="spellEnd"/>
      <w:r w:rsidRPr="00456F45">
        <w:rPr>
          <w:rFonts w:asciiTheme="minorHAnsi" w:hAnsiTheme="minorHAnsi" w:cstheme="minorHAnsi"/>
        </w:rPr>
        <w:t>].</w:t>
      </w:r>
    </w:p>
    <w:p w14:paraId="05CFAA96"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Bemerkung 5:</w:t>
      </w:r>
      <w:r w:rsidRPr="00456F45">
        <w:rPr>
          <w:rFonts w:asciiTheme="minorHAnsi" w:hAnsiTheme="minorHAnsi" w:cstheme="minorHAnsi"/>
        </w:rPr>
        <w:t xml:space="preserve"> Der Streitwert hat einen massgeblichen Einfluss auf die Gerichtskosten und Partei</w:t>
      </w:r>
      <w:r w:rsidR="0033781A" w:rsidRPr="00456F45">
        <w:rPr>
          <w:rFonts w:asciiTheme="minorHAnsi" w:hAnsiTheme="minorHAnsi" w:cstheme="minorHAnsi"/>
        </w:rPr>
        <w:t>-</w:t>
      </w:r>
      <w:r w:rsidRPr="00456F45">
        <w:rPr>
          <w:rFonts w:asciiTheme="minorHAnsi" w:hAnsiTheme="minorHAnsi" w:cstheme="minorHAnsi"/>
        </w:rPr>
        <w:t xml:space="preserve">entschädigung. Die Streitwertschätzung sollte realistisch und nachvollziehbar sein. Wenn die </w:t>
      </w:r>
      <w:proofErr w:type="spellStart"/>
      <w:r w:rsidRPr="00456F45">
        <w:rPr>
          <w:rFonts w:asciiTheme="minorHAnsi" w:hAnsiTheme="minorHAnsi" w:cstheme="minorHAnsi"/>
        </w:rPr>
        <w:t>Gesuchschancen</w:t>
      </w:r>
      <w:proofErr w:type="spellEnd"/>
      <w:r w:rsidRPr="00456F45">
        <w:rPr>
          <w:rFonts w:asciiTheme="minorHAnsi" w:hAnsiTheme="minorHAnsi" w:cstheme="minorHAnsi"/>
        </w:rPr>
        <w:t xml:space="preserve"> nicht restlos klar sind, empfiehlt sich eine konservative Schätzung. </w:t>
      </w:r>
    </w:p>
    <w:p w14:paraId="0ACFFE48" w14:textId="77777777" w:rsidR="007E4A76" w:rsidRPr="00456F45" w:rsidRDefault="007E4A76" w:rsidP="0071289F">
      <w:pPr>
        <w:pStyle w:val="MustertextTitelEbene1"/>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II.</w:t>
      </w:r>
      <w:r w:rsidRPr="00456F45">
        <w:rPr>
          <w:rFonts w:asciiTheme="minorHAnsi" w:hAnsiTheme="minorHAnsi" w:cstheme="minorHAnsi"/>
        </w:rPr>
        <w:tab/>
        <w:t>Materielles</w:t>
      </w:r>
    </w:p>
    <w:p w14:paraId="685AD610"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w:t>
      </w:r>
      <w:r w:rsidRPr="00456F45">
        <w:rPr>
          <w:rFonts w:asciiTheme="minorHAnsi" w:hAnsiTheme="minorHAnsi" w:cstheme="minorHAnsi"/>
        </w:rPr>
        <w:tab/>
        <w:t>Gesuchstellerin und EP 9 999 999</w:t>
      </w:r>
    </w:p>
    <w:p w14:paraId="7FD30FB5"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Die Gesuchstellerin ist ein pharmazeutisches Unternehmen mit Sitz in New York, USA. Sie ist u.a. im Bereich der Forschung und Entwicklung neuer pharmazeutischer Formulierungen tätig, die auf natürlichen Wirkstoffen basieren. </w:t>
      </w:r>
    </w:p>
    <w:p w14:paraId="5F0E822C"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Das Patent 9 999 999 Patent wurde am 1. April 2010 ohne Inanspruchnahme einer Priorität beim Europäischen Patentamt eingereicht und am 31. Januar 2015 erteilt. Gegen das Patent wurde kein Einspruch eingelegt. Das Patent ist in der Schweiz in Kraft. </w:t>
      </w:r>
    </w:p>
    <w:p w14:paraId="4AA4AFB8"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i/>
        </w:rPr>
      </w:pPr>
      <w:r w:rsidRPr="00456F45">
        <w:rPr>
          <w:rFonts w:asciiTheme="minorHAnsi" w:hAnsiTheme="minorHAnsi" w:cstheme="minorHAnsi"/>
          <w:b/>
        </w:rPr>
        <w:tab/>
        <w:t>BO:</w:t>
      </w:r>
      <w:r w:rsidRPr="00456F45">
        <w:rPr>
          <w:rFonts w:asciiTheme="minorHAnsi" w:hAnsiTheme="minorHAnsi" w:cstheme="minorHAnsi"/>
        </w:rPr>
        <w:t xml:space="preserve"> Europäische Patentschrift EP 9 999 999</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5</w:t>
      </w:r>
    </w:p>
    <w:p w14:paraId="2AF6089A"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3BB4BEDB"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i/>
        </w:rPr>
      </w:pPr>
      <w:r w:rsidRPr="00456F45">
        <w:rPr>
          <w:rFonts w:asciiTheme="minorHAnsi" w:hAnsiTheme="minorHAnsi" w:cstheme="minorHAnsi"/>
          <w:b/>
        </w:rPr>
        <w:tab/>
        <w:t>BO:</w:t>
      </w:r>
      <w:r w:rsidRPr="00456F45">
        <w:rPr>
          <w:rFonts w:asciiTheme="minorHAnsi" w:hAnsiTheme="minorHAnsi" w:cstheme="minorHAnsi"/>
        </w:rPr>
        <w:t xml:space="preserve"> </w:t>
      </w:r>
      <w:proofErr w:type="spellStart"/>
      <w:r w:rsidRPr="00456F45">
        <w:rPr>
          <w:rFonts w:asciiTheme="minorHAnsi" w:hAnsiTheme="minorHAnsi" w:cstheme="minorHAnsi"/>
        </w:rPr>
        <w:t>Swissreg</w:t>
      </w:r>
      <w:proofErr w:type="spellEnd"/>
      <w:r w:rsidRPr="00456F45">
        <w:rPr>
          <w:rFonts w:asciiTheme="minorHAnsi" w:hAnsiTheme="minorHAnsi" w:cstheme="minorHAnsi"/>
        </w:rPr>
        <w:t>-Auszug zu EP 9 999 999</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6</w:t>
      </w:r>
    </w:p>
    <w:p w14:paraId="200AB944"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 xml:space="preserve">Bemerkung 6: </w:t>
      </w:r>
      <w:r w:rsidRPr="00456F45">
        <w:rPr>
          <w:rFonts w:asciiTheme="minorHAnsi" w:hAnsiTheme="minorHAnsi" w:cstheme="minorHAnsi"/>
        </w:rPr>
        <w:t xml:space="preserve">Häufig wurde vor der </w:t>
      </w:r>
      <w:proofErr w:type="spellStart"/>
      <w:r w:rsidRPr="00456F45">
        <w:rPr>
          <w:rFonts w:asciiTheme="minorHAnsi" w:hAnsiTheme="minorHAnsi" w:cstheme="minorHAnsi"/>
        </w:rPr>
        <w:t>Massnahmeeinleitung</w:t>
      </w:r>
      <w:proofErr w:type="spellEnd"/>
      <w:r w:rsidRPr="00456F45">
        <w:rPr>
          <w:rFonts w:asciiTheme="minorHAnsi" w:hAnsiTheme="minorHAnsi" w:cstheme="minorHAnsi"/>
        </w:rPr>
        <w:t xml:space="preserve"> gegen das Streitpatent beim Europäischen Patentamt ein Einspruch eingelegt oder es gibt die Rechtsbeständigkeit betreffende Urteile aus anderen europäischen Ländern. Es empfiehlt sich, hier die entsprechenden Entscheide und Urteile kurz aufzuführen und zusammenzufassen. Bei ungeprüften Schweizer Patenten sollte detailliert auf die Rechtsbeständigkeit eingegangen und die in einem </w:t>
      </w:r>
      <w:proofErr w:type="spellStart"/>
      <w:r w:rsidRPr="00456F45">
        <w:rPr>
          <w:rFonts w:asciiTheme="minorHAnsi" w:hAnsiTheme="minorHAnsi" w:cstheme="minorHAnsi"/>
        </w:rPr>
        <w:t>Recherchenbericht</w:t>
      </w:r>
      <w:proofErr w:type="spellEnd"/>
      <w:r w:rsidRPr="00456F45">
        <w:rPr>
          <w:rFonts w:asciiTheme="minorHAnsi" w:hAnsiTheme="minorHAnsi" w:cstheme="minorHAnsi"/>
        </w:rPr>
        <w:t xml:space="preserve"> aufgefunden Dokumente bezüglich Neuheit und erfinderischer Tätigkeit gewürdigt werden (BPatG S2015_001 vom 09.02.2015 E. 6.3).</w:t>
      </w:r>
    </w:p>
    <w:p w14:paraId="56723A25" w14:textId="77777777" w:rsidR="00CD319C" w:rsidRPr="00456F45" w:rsidRDefault="00CD319C" w:rsidP="0071289F">
      <w:pPr>
        <w:spacing w:after="200" w:line="276" w:lineRule="auto"/>
        <w:rPr>
          <w:rFonts w:cstheme="minorHAnsi"/>
          <w:b/>
          <w:sz w:val="18"/>
        </w:rPr>
      </w:pPr>
      <w:r w:rsidRPr="00456F45">
        <w:rPr>
          <w:rFonts w:cstheme="minorHAnsi"/>
        </w:rPr>
        <w:br w:type="page"/>
      </w:r>
    </w:p>
    <w:p w14:paraId="772D927A"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lastRenderedPageBreak/>
        <w:t>B.</w:t>
      </w:r>
      <w:r w:rsidRPr="00456F45">
        <w:rPr>
          <w:rFonts w:asciiTheme="minorHAnsi" w:hAnsiTheme="minorHAnsi" w:cstheme="minorHAnsi"/>
        </w:rPr>
        <w:tab/>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1</w:t>
      </w:r>
    </w:p>
    <w:p w14:paraId="2A5947E2"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Bei der </w:t>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1 handelt es sich um eine grössere Drogeriekette mit insgesamt 50 Filialen in der Schweiz, die als schweizerische Aktiengesellschaft mit Sitz in Zürich im Kanton Zürich firmiert. </w:t>
      </w:r>
    </w:p>
    <w:p w14:paraId="3E2782CB"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i/>
        </w:rPr>
      </w:pPr>
      <w:r w:rsidRPr="00456F45">
        <w:rPr>
          <w:rFonts w:asciiTheme="minorHAnsi" w:hAnsiTheme="minorHAnsi" w:cstheme="minorHAnsi"/>
          <w:b/>
        </w:rPr>
        <w:tab/>
        <w:t>BO:</w:t>
      </w:r>
      <w:r w:rsidRPr="00456F45">
        <w:rPr>
          <w:rFonts w:asciiTheme="minorHAnsi" w:hAnsiTheme="minorHAnsi" w:cstheme="minorHAnsi"/>
        </w:rPr>
        <w:t xml:space="preserve"> Auszug aus der Webseite </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4</w:t>
      </w:r>
    </w:p>
    <w:p w14:paraId="0CD1697C"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58C87550"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BO:</w:t>
      </w:r>
      <w:r w:rsidRPr="00456F45">
        <w:rPr>
          <w:rFonts w:asciiTheme="minorHAnsi" w:hAnsiTheme="minorHAnsi" w:cstheme="minorHAnsi"/>
        </w:rPr>
        <w:t xml:space="preserve"> Handelsregisterauszug der X AG</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5</w:t>
      </w:r>
    </w:p>
    <w:p w14:paraId="1D4971E7"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C.</w:t>
      </w:r>
      <w:r w:rsidRPr="00456F45">
        <w:rPr>
          <w:rFonts w:asciiTheme="minorHAnsi" w:hAnsiTheme="minorHAnsi" w:cstheme="minorHAnsi"/>
        </w:rPr>
        <w:tab/>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2</w:t>
      </w:r>
    </w:p>
    <w:p w14:paraId="25A37DB7"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Bei der </w:t>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2 handelt es sich um eine schweizerische Gesellschaft mit beschränkter Haftung mit Sitz in Erlinsbach im Kanton Aargau. Sie ist eine kleine Firma mit 30 Mitarbeitern, die galenische Formulierungen im Tonnenmassstab für Drogerien und Apotheken herstellt. </w:t>
      </w:r>
    </w:p>
    <w:p w14:paraId="0C1AA44F"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i/>
        </w:rPr>
      </w:pPr>
      <w:r w:rsidRPr="00456F45">
        <w:rPr>
          <w:rFonts w:asciiTheme="minorHAnsi" w:hAnsiTheme="minorHAnsi" w:cstheme="minorHAnsi"/>
          <w:b/>
        </w:rPr>
        <w:tab/>
        <w:t>BO:</w:t>
      </w:r>
      <w:r w:rsidRPr="00456F45">
        <w:rPr>
          <w:rFonts w:asciiTheme="minorHAnsi" w:hAnsiTheme="minorHAnsi" w:cstheme="minorHAnsi"/>
        </w:rPr>
        <w:t xml:space="preserve"> Auszug aus der Webseite </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6</w:t>
      </w:r>
    </w:p>
    <w:p w14:paraId="751E2178"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1FF6F055"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BO:</w:t>
      </w:r>
      <w:r w:rsidRPr="00456F45">
        <w:rPr>
          <w:rFonts w:asciiTheme="minorHAnsi" w:hAnsiTheme="minorHAnsi" w:cstheme="minorHAnsi"/>
        </w:rPr>
        <w:t xml:space="preserve"> Handelsregisterauszug der Y GmbH</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7</w:t>
      </w:r>
    </w:p>
    <w:p w14:paraId="5F6EAA8B"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D.</w:t>
      </w:r>
      <w:r w:rsidRPr="00456F45">
        <w:rPr>
          <w:rFonts w:asciiTheme="minorHAnsi" w:hAnsiTheme="minorHAnsi" w:cstheme="minorHAnsi"/>
        </w:rPr>
        <w:tab/>
        <w:t xml:space="preserve">Die angegriffene Ausführungsform der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1 und 2</w:t>
      </w:r>
    </w:p>
    <w:p w14:paraId="33918325"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Das vorliegende </w:t>
      </w:r>
      <w:proofErr w:type="spellStart"/>
      <w:r w:rsidRPr="00456F45">
        <w:rPr>
          <w:rFonts w:asciiTheme="minorHAnsi" w:hAnsiTheme="minorHAnsi" w:cstheme="minorHAnsi"/>
        </w:rPr>
        <w:t>Massnahmegesuch</w:t>
      </w:r>
      <w:proofErr w:type="spellEnd"/>
      <w:r w:rsidRPr="00456F45">
        <w:rPr>
          <w:rFonts w:asciiTheme="minorHAnsi" w:hAnsiTheme="minorHAnsi" w:cstheme="minorHAnsi"/>
        </w:rPr>
        <w:t xml:space="preserve"> richtet sich gegen das Produkt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das von der </w:t>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1 vertrieben und von der </w:t>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2 hergestellt wird. Das Produkt ist gemäss den Nachforschungen der Gesuchstellerin seit dem 1. Juli 2015 auf dem Markt. Die Gesuchstellerin geht davon aus, dass die </w:t>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2 mit der Produktion mindestens drei Monate zum voraus begonnen hat, somit spätestens am 15. Mai 2015. Die Gesuchstellerin hat am 1. September 2015 bei der Filiale </w:t>
      </w:r>
      <w:proofErr w:type="spellStart"/>
      <w:r w:rsidRPr="00456F45">
        <w:rPr>
          <w:rFonts w:asciiTheme="minorHAnsi" w:hAnsiTheme="minorHAnsi" w:cstheme="minorHAnsi"/>
        </w:rPr>
        <w:t>Xa</w:t>
      </w:r>
      <w:proofErr w:type="spellEnd"/>
      <w:r w:rsidRPr="00456F45">
        <w:rPr>
          <w:rFonts w:asciiTheme="minorHAnsi" w:hAnsiTheme="minorHAnsi" w:cstheme="minorHAnsi"/>
        </w:rPr>
        <w:t xml:space="preserve"> in Zürich eine Packung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erworben. </w:t>
      </w:r>
    </w:p>
    <w:p w14:paraId="7060E473"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Der Packungsbeilage ist zu entnehmen, dass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45.5% </w:t>
      </w:r>
      <w:r w:rsidR="0033781A" w:rsidRPr="00456F45">
        <w:rPr>
          <w:rFonts w:asciiTheme="minorHAnsi" w:hAnsiTheme="minorHAnsi" w:cstheme="minorHAnsi"/>
        </w:rPr>
        <w:t>Sojaöl, 53% Kokosnussöl und 1.5</w:t>
      </w:r>
      <w:r w:rsidRPr="00456F45">
        <w:rPr>
          <w:rFonts w:asciiTheme="minorHAnsi" w:hAnsiTheme="minorHAnsi" w:cstheme="minorHAnsi"/>
        </w:rPr>
        <w:t xml:space="preserve">% eines </w:t>
      </w:r>
      <w:proofErr w:type="spellStart"/>
      <w:r w:rsidRPr="00456F45">
        <w:rPr>
          <w:rFonts w:asciiTheme="minorHAnsi" w:hAnsiTheme="minorHAnsi" w:cstheme="minorHAnsi"/>
        </w:rPr>
        <w:t>ethanolischen</w:t>
      </w:r>
      <w:proofErr w:type="spellEnd"/>
      <w:r w:rsidRPr="00456F45">
        <w:rPr>
          <w:rFonts w:asciiTheme="minorHAnsi" w:hAnsiTheme="minorHAnsi" w:cstheme="minorHAnsi"/>
        </w:rPr>
        <w:t xml:space="preserve"> Extraktes von Zitronenmelisse enthält. Ebenso ist angegeben, dass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bei der Y GmbH hergestellt und verpackt wurde. </w:t>
      </w:r>
    </w:p>
    <w:p w14:paraId="502910F4"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In der Packungsbeilage ist ferner aufgeführt, dass «</w:t>
      </w:r>
      <w:proofErr w:type="spellStart"/>
      <w:r w:rsidRPr="00456F45">
        <w:rPr>
          <w:rFonts w:asciiTheme="minorHAnsi" w:hAnsiTheme="minorHAnsi" w:cstheme="minorHAnsi"/>
        </w:rPr>
        <w:t>Lausfrei</w:t>
      </w:r>
      <w:proofErr w:type="spellEnd"/>
      <w:r w:rsidRPr="00456F45">
        <w:rPr>
          <w:rFonts w:asciiTheme="minorHAnsi" w:hAnsiTheme="minorHAnsi" w:cstheme="minorHAnsi"/>
        </w:rPr>
        <w:t>» sehr einfach in der Anwendung ist: es wird auf das trockene Haar aufgetragen und einmassiert. Nach 8 Stunden wird es wieder ausgewaschen. Nach 7 und nach 14 Tagen sollte die Prozedur wiederholt werden.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ist gemäss Packungsbeilage ein äusserst effektives, gesundheitlich unbedenkliches und kopfhautschonendes Mittel zur Bekämpfung von Kopfläusen. </w:t>
      </w:r>
    </w:p>
    <w:p w14:paraId="527C402C"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i/>
        </w:rPr>
      </w:pPr>
      <w:r w:rsidRPr="00456F45">
        <w:rPr>
          <w:rFonts w:asciiTheme="minorHAnsi" w:hAnsiTheme="minorHAnsi" w:cstheme="minorHAnsi"/>
          <w:b/>
        </w:rPr>
        <w:tab/>
        <w:t>BO:</w:t>
      </w:r>
      <w:r w:rsidRPr="00456F45">
        <w:rPr>
          <w:rFonts w:asciiTheme="minorHAnsi" w:hAnsiTheme="minorHAnsi" w:cstheme="minorHAnsi"/>
        </w:rPr>
        <w:t xml:space="preserve"> Kaufbeleg vom 01.09.2015</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8</w:t>
      </w:r>
    </w:p>
    <w:p w14:paraId="03B6C888"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1637B624"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i/>
        </w:rPr>
      </w:pPr>
      <w:r w:rsidRPr="00456F45">
        <w:rPr>
          <w:rFonts w:asciiTheme="minorHAnsi" w:hAnsiTheme="minorHAnsi" w:cstheme="minorHAnsi"/>
          <w:b/>
        </w:rPr>
        <w:tab/>
        <w:t>BO:</w:t>
      </w:r>
      <w:r w:rsidRPr="00456F45">
        <w:rPr>
          <w:rFonts w:asciiTheme="minorHAnsi" w:hAnsiTheme="minorHAnsi" w:cstheme="minorHAnsi"/>
        </w:rPr>
        <w:t xml:space="preserve"> Packungsbeilage</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9</w:t>
      </w:r>
    </w:p>
    <w:p w14:paraId="72534769"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7FE77A28"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b/>
          <w:i/>
        </w:rPr>
      </w:pPr>
      <w:r w:rsidRPr="00456F45">
        <w:rPr>
          <w:rFonts w:asciiTheme="minorHAnsi" w:hAnsiTheme="minorHAnsi" w:cstheme="minorHAnsi"/>
        </w:rPr>
        <w:tab/>
      </w:r>
      <w:r w:rsidRPr="00456F45">
        <w:rPr>
          <w:rFonts w:asciiTheme="minorHAnsi" w:hAnsiTheme="minorHAnsi" w:cstheme="minorHAnsi"/>
          <w:b/>
        </w:rPr>
        <w:t>BO:</w:t>
      </w:r>
      <w:r w:rsidRPr="00456F45">
        <w:rPr>
          <w:rFonts w:asciiTheme="minorHAnsi" w:hAnsiTheme="minorHAnsi" w:cstheme="minorHAnsi"/>
        </w:rPr>
        <w:t xml:space="preserve"> Flyer mit Angabe der Marktlancierung 01.07.2015</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0033781A" w:rsidRPr="00456F45">
        <w:rPr>
          <w:rFonts w:asciiTheme="minorHAnsi" w:hAnsiTheme="minorHAnsi" w:cstheme="minorHAnsi"/>
        </w:rPr>
        <w:tab/>
      </w:r>
      <w:r w:rsidRPr="00456F45">
        <w:rPr>
          <w:rFonts w:asciiTheme="minorHAnsi" w:hAnsiTheme="minorHAnsi" w:cstheme="minorHAnsi"/>
          <w:b/>
        </w:rPr>
        <w:t>Beilage 10</w:t>
      </w:r>
    </w:p>
    <w:p w14:paraId="6E4649D6"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198B99F2"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BO:</w:t>
      </w:r>
      <w:r w:rsidRPr="00456F45">
        <w:rPr>
          <w:rFonts w:asciiTheme="minorHAnsi" w:hAnsiTheme="minorHAnsi" w:cstheme="minorHAnsi"/>
        </w:rPr>
        <w:t xml:space="preserve"> Schriftliche Bestätigung betreffend Produktionsbeginn</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11</w:t>
      </w:r>
    </w:p>
    <w:p w14:paraId="1B9D8E7E"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E.</w:t>
      </w:r>
      <w:r w:rsidRPr="00456F45">
        <w:rPr>
          <w:rFonts w:asciiTheme="minorHAnsi" w:hAnsiTheme="minorHAnsi" w:cstheme="minorHAnsi"/>
        </w:rPr>
        <w:tab/>
        <w:t>Verletzung des Streitpatents</w:t>
      </w:r>
    </w:p>
    <w:p w14:paraId="06702662"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Das in deutscher Sprache erteilte europäische Patent 9 999 999 bezieht sich auf eine Zusammensetzung zur </w:t>
      </w:r>
      <w:proofErr w:type="spellStart"/>
      <w:r w:rsidRPr="00456F45">
        <w:rPr>
          <w:rFonts w:asciiTheme="minorHAnsi" w:hAnsiTheme="minorHAnsi" w:cstheme="minorHAnsi"/>
        </w:rPr>
        <w:t>topischen</w:t>
      </w:r>
      <w:proofErr w:type="spellEnd"/>
      <w:r w:rsidRPr="00456F45">
        <w:rPr>
          <w:rFonts w:asciiTheme="minorHAnsi" w:hAnsiTheme="minorHAnsi" w:cstheme="minorHAnsi"/>
        </w:rPr>
        <w:t xml:space="preserve"> Behandlung von Kopfläusen. Der einzige Patentanspruch des Patentes lautet wie folgt (Merkmalsgliederung hinzugefügt):</w:t>
      </w:r>
    </w:p>
    <w:p w14:paraId="177D3055" w14:textId="77777777" w:rsidR="007E4A76" w:rsidRPr="00456F45" w:rsidRDefault="007E4A76" w:rsidP="0071289F">
      <w:pPr>
        <w:pStyle w:val="MustertextListea"/>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«Zusammensetzung zur </w:t>
      </w:r>
      <w:proofErr w:type="spellStart"/>
      <w:r w:rsidRPr="00456F45">
        <w:rPr>
          <w:rFonts w:asciiTheme="minorHAnsi" w:hAnsiTheme="minorHAnsi" w:cstheme="minorHAnsi"/>
        </w:rPr>
        <w:t>topischen</w:t>
      </w:r>
      <w:proofErr w:type="spellEnd"/>
      <w:r w:rsidRPr="00456F45">
        <w:rPr>
          <w:rFonts w:asciiTheme="minorHAnsi" w:hAnsiTheme="minorHAnsi" w:cstheme="minorHAnsi"/>
        </w:rPr>
        <w:t xml:space="preserve"> Behandlung von Kopfläusen enthaltend </w:t>
      </w:r>
    </w:p>
    <w:p w14:paraId="38B3DF3B" w14:textId="77777777" w:rsidR="007E4A76" w:rsidRPr="00456F45" w:rsidRDefault="007E4A76" w:rsidP="0071289F">
      <w:pPr>
        <w:pStyle w:val="MustertextListea"/>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40 bis 60% Sojaöl, </w:t>
      </w:r>
    </w:p>
    <w:p w14:paraId="6787B6AB" w14:textId="77777777" w:rsidR="007E4A76" w:rsidRPr="00456F45" w:rsidRDefault="007E4A76" w:rsidP="0071289F">
      <w:pPr>
        <w:pStyle w:val="MustertextListea"/>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40 bis 60% Kokosnussöl und </w:t>
      </w:r>
    </w:p>
    <w:p w14:paraId="5C77AEF6" w14:textId="77777777" w:rsidR="007E4A76" w:rsidRPr="00456F45" w:rsidRDefault="007E4A76" w:rsidP="0071289F">
      <w:pPr>
        <w:pStyle w:val="MustertextListea"/>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lastRenderedPageBreak/>
        <w:t xml:space="preserve">1 bis 2% eines </w:t>
      </w:r>
      <w:proofErr w:type="spellStart"/>
      <w:r w:rsidRPr="00456F45">
        <w:rPr>
          <w:rFonts w:asciiTheme="minorHAnsi" w:hAnsiTheme="minorHAnsi" w:cstheme="minorHAnsi"/>
        </w:rPr>
        <w:t>ethanolischen</w:t>
      </w:r>
      <w:proofErr w:type="spellEnd"/>
      <w:r w:rsidRPr="00456F45">
        <w:rPr>
          <w:rFonts w:asciiTheme="minorHAnsi" w:hAnsiTheme="minorHAnsi" w:cstheme="minorHAnsi"/>
        </w:rPr>
        <w:t xml:space="preserve"> Extraktes eines Lippenblütlers».</w:t>
      </w:r>
    </w:p>
    <w:p w14:paraId="76800255"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ist eine Zusammensetzung, die äusserlich auf der Kopfhaut, d.h. </w:t>
      </w:r>
      <w:proofErr w:type="spellStart"/>
      <w:r w:rsidRPr="00456F45">
        <w:rPr>
          <w:rFonts w:asciiTheme="minorHAnsi" w:hAnsiTheme="minorHAnsi" w:cstheme="minorHAnsi"/>
        </w:rPr>
        <w:t>topisch</w:t>
      </w:r>
      <w:proofErr w:type="spellEnd"/>
      <w:r w:rsidRPr="00456F45">
        <w:rPr>
          <w:rFonts w:asciiTheme="minorHAnsi" w:hAnsiTheme="minorHAnsi" w:cstheme="minorHAnsi"/>
        </w:rPr>
        <w:t xml:space="preserve">, angewandt und zur Behandlung von Kopfläusen eingesetzt wird. Damit ist Merkmal </w:t>
      </w:r>
      <w:r w:rsidRPr="00456F45">
        <w:rPr>
          <w:rFonts w:asciiTheme="minorHAnsi" w:hAnsiTheme="minorHAnsi" w:cstheme="minorHAnsi"/>
          <w:i/>
        </w:rPr>
        <w:t>a.</w:t>
      </w:r>
      <w:r w:rsidRPr="00456F45">
        <w:rPr>
          <w:rFonts w:asciiTheme="minorHAnsi" w:hAnsiTheme="minorHAnsi" w:cstheme="minorHAnsi"/>
        </w:rPr>
        <w:t xml:space="preserve"> erfüllt.</w:t>
      </w:r>
    </w:p>
    <w:p w14:paraId="27E67775"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Gemäss der Packungsbeilage enthält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45.5% Sojaöl. Dieser Wert liegt im beanspruchten Bereich von 40 bis 60% Sojaöl. Der Anspruch ist auf alle Sojaöle gerichtet und in der Beschreibung ist explizit angegeben, dass die Art der Gewinnung keine Rolle spielt. Damit ist auch Merkmal </w:t>
      </w:r>
      <w:r w:rsidRPr="00456F45">
        <w:rPr>
          <w:rFonts w:asciiTheme="minorHAnsi" w:hAnsiTheme="minorHAnsi" w:cstheme="minorHAnsi"/>
          <w:i/>
        </w:rPr>
        <w:t>b.</w:t>
      </w:r>
      <w:r w:rsidRPr="00456F45">
        <w:rPr>
          <w:rFonts w:asciiTheme="minorHAnsi" w:hAnsiTheme="minorHAnsi" w:cstheme="minorHAnsi"/>
        </w:rPr>
        <w:t xml:space="preserve"> erfüllt. </w:t>
      </w:r>
    </w:p>
    <w:p w14:paraId="4F8191A7"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Ausserdem enthält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53% Kokosnussöl. Dieser Wert liegt im beanspruchten Bereich von 40 bis 60% Kokosnussöl. Der Anspruch ist auf alle Kokosnussöle gerichtet und in der Beschreibung ist explizit angegeben, dass die Art der Gewinnung keine Rolle spielt. Damit ist auch Merkmal </w:t>
      </w:r>
      <w:r w:rsidRPr="00456F45">
        <w:rPr>
          <w:rFonts w:asciiTheme="minorHAnsi" w:hAnsiTheme="minorHAnsi" w:cstheme="minorHAnsi"/>
          <w:i/>
        </w:rPr>
        <w:t>c.</w:t>
      </w:r>
      <w:r w:rsidRPr="00456F45">
        <w:rPr>
          <w:rFonts w:asciiTheme="minorHAnsi" w:hAnsiTheme="minorHAnsi" w:cstheme="minorHAnsi"/>
        </w:rPr>
        <w:t xml:space="preserve"> erfüllt.</w:t>
      </w:r>
    </w:p>
    <w:p w14:paraId="38BD9ED1"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Schliesslich enthält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1.5% eines </w:t>
      </w:r>
      <w:proofErr w:type="spellStart"/>
      <w:r w:rsidRPr="00456F45">
        <w:rPr>
          <w:rFonts w:asciiTheme="minorHAnsi" w:hAnsiTheme="minorHAnsi" w:cstheme="minorHAnsi"/>
        </w:rPr>
        <w:t>ethanolischen</w:t>
      </w:r>
      <w:proofErr w:type="spellEnd"/>
      <w:r w:rsidRPr="00456F45">
        <w:rPr>
          <w:rFonts w:asciiTheme="minorHAnsi" w:hAnsiTheme="minorHAnsi" w:cstheme="minorHAnsi"/>
        </w:rPr>
        <w:t xml:space="preserve"> Extraktes von Zitronenmelisse. Zitronenmelisse ist ein Lippenblütler. Dies geht auch aus der Beschreibung des Streitpatents hervor. Der verwendete Bereich von 1.5% des </w:t>
      </w:r>
      <w:proofErr w:type="spellStart"/>
      <w:r w:rsidRPr="00456F45">
        <w:rPr>
          <w:rFonts w:asciiTheme="minorHAnsi" w:hAnsiTheme="minorHAnsi" w:cstheme="minorHAnsi"/>
        </w:rPr>
        <w:t>ethanolischen</w:t>
      </w:r>
      <w:proofErr w:type="spellEnd"/>
      <w:r w:rsidRPr="00456F45">
        <w:rPr>
          <w:rFonts w:asciiTheme="minorHAnsi" w:hAnsiTheme="minorHAnsi" w:cstheme="minorHAnsi"/>
        </w:rPr>
        <w:t xml:space="preserve"> Extraktes von Zitronenmelisse liegt ebenfalls im beanspruchten Bereich von 1 bis 2%. Mithin ist auch Merkmal </w:t>
      </w:r>
      <w:r w:rsidRPr="00456F45">
        <w:rPr>
          <w:rFonts w:asciiTheme="minorHAnsi" w:hAnsiTheme="minorHAnsi" w:cstheme="minorHAnsi"/>
          <w:i/>
        </w:rPr>
        <w:t>d.</w:t>
      </w:r>
      <w:r w:rsidRPr="00456F45">
        <w:rPr>
          <w:rFonts w:asciiTheme="minorHAnsi" w:hAnsiTheme="minorHAnsi" w:cstheme="minorHAnsi"/>
        </w:rPr>
        <w:t xml:space="preserve"> verwirklicht. </w:t>
      </w:r>
    </w:p>
    <w:p w14:paraId="5D828806"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Es sind sämtliche anspruchsgemässen Merkmale </w:t>
      </w:r>
      <w:r w:rsidRPr="00456F45">
        <w:rPr>
          <w:rFonts w:asciiTheme="minorHAnsi" w:hAnsiTheme="minorHAnsi" w:cstheme="minorHAnsi"/>
          <w:i/>
        </w:rPr>
        <w:t>a.</w:t>
      </w:r>
      <w:r w:rsidRPr="00456F45">
        <w:rPr>
          <w:rFonts w:asciiTheme="minorHAnsi" w:hAnsiTheme="minorHAnsi" w:cstheme="minorHAnsi"/>
        </w:rPr>
        <w:t xml:space="preserve"> bis </w:t>
      </w:r>
      <w:r w:rsidRPr="00456F45">
        <w:rPr>
          <w:rFonts w:asciiTheme="minorHAnsi" w:hAnsiTheme="minorHAnsi" w:cstheme="minorHAnsi"/>
          <w:i/>
        </w:rPr>
        <w:t>d.</w:t>
      </w:r>
      <w:r w:rsidRPr="00456F45">
        <w:rPr>
          <w:rFonts w:asciiTheme="minorHAnsi" w:hAnsiTheme="minorHAnsi" w:cstheme="minorHAnsi"/>
        </w:rPr>
        <w:t xml:space="preserve"> in der Zusammensetzung «</w:t>
      </w:r>
      <w:proofErr w:type="spellStart"/>
      <w:r w:rsidRPr="00456F45">
        <w:rPr>
          <w:rFonts w:asciiTheme="minorHAnsi" w:hAnsiTheme="minorHAnsi" w:cstheme="minorHAnsi"/>
        </w:rPr>
        <w:t>Lausfrei</w:t>
      </w:r>
      <w:proofErr w:type="spellEnd"/>
      <w:r w:rsidRPr="00456F45">
        <w:rPr>
          <w:rFonts w:asciiTheme="minorHAnsi" w:hAnsiTheme="minorHAnsi" w:cstheme="minorHAnsi"/>
        </w:rPr>
        <w:t xml:space="preserve">» wörtlich verwirklicht. Es liegt eine Nachmachung vor. </w:t>
      </w:r>
    </w:p>
    <w:p w14:paraId="73A92EAF"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Bemerkung 7:</w:t>
      </w:r>
      <w:r w:rsidRPr="00456F45">
        <w:rPr>
          <w:rFonts w:asciiTheme="minorHAnsi" w:hAnsiTheme="minorHAnsi" w:cstheme="minorHAnsi"/>
        </w:rPr>
        <w:t xml:space="preserve"> Gemäss Art. 51 Abs. 2 und Abs. 3 PatG bestimmen die Patentansprüche den Schutzbereich des Patentes, wobei die Beschreibung und die Zeichnungen zur Auslegung der Ansprüche heranzuziehen sind. Zur Auslegung wird der Anspruch in einzelne Merkmale unterteilt und bei jedem Merkmal anhand der Beschreibung die Bedeutung des Merkmals festgelegt. Gemäss ständiger Rechtsprechung ist aber die Patentbeschreibung ihr eigenes Lexikon (BGH, 02.03.1999, X ZR 85 85/96). Wenn in der Patentschrift die konkrete Beschreibung eines Merkmals vom üblichen Sprachgebrauch abweicht, ist einzig die Patentschrift massgebend.</w:t>
      </w:r>
    </w:p>
    <w:p w14:paraId="3C70EDFB"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Bemerkung 8:</w:t>
      </w:r>
      <w:r w:rsidRPr="00456F45">
        <w:rPr>
          <w:rFonts w:asciiTheme="minorHAnsi" w:hAnsiTheme="minorHAnsi" w:cstheme="minorHAnsi"/>
        </w:rPr>
        <w:t xml:space="preserve"> Wenn ein oder mehrere Merkmale nicht wörtlich verwirklicht werden, muss überprüft werden, ob das oder die verwendeten Merkmale für den Fachmann naheliegende Äquivalente sind.  Dabei müssen folgende drei Fragen kumulativ bejaht werden (BPatG S2013_001 vom 21.03.2013, Regeste):</w:t>
      </w:r>
    </w:p>
    <w:p w14:paraId="53667A25"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b/>
        </w:rPr>
      </w:pPr>
      <w:r w:rsidRPr="00456F45">
        <w:rPr>
          <w:rFonts w:asciiTheme="minorHAnsi" w:hAnsiTheme="minorHAnsi" w:cstheme="minorHAnsi"/>
        </w:rPr>
        <w:tab/>
      </w:r>
      <w:r w:rsidRPr="00456F45">
        <w:rPr>
          <w:rFonts w:asciiTheme="minorHAnsi" w:hAnsiTheme="minorHAnsi" w:cstheme="minorHAnsi"/>
          <w:b/>
        </w:rPr>
        <w:t>«1. Erfüllen die ersetzten Merkmale die objektiv gleiche Funktion? (Gleichwirkung)</w:t>
      </w:r>
    </w:p>
    <w:p w14:paraId="1D68AD9E"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b/>
        </w:rPr>
      </w:pPr>
      <w:r w:rsidRPr="00456F45">
        <w:rPr>
          <w:rFonts w:asciiTheme="minorHAnsi" w:hAnsiTheme="minorHAnsi" w:cstheme="minorHAnsi"/>
          <w:b/>
        </w:rPr>
        <w:tab/>
        <w:t>2. Werden die ersetzten Merkmale und deren objektiv gleiche Funktion dem Fachmann durch die Lehre des Patentes nahe gelegt? (Auffindbarkeit)</w:t>
      </w:r>
    </w:p>
    <w:p w14:paraId="53D94783"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b/>
        </w:rPr>
      </w:pPr>
      <w:r w:rsidRPr="00456F45">
        <w:rPr>
          <w:rFonts w:asciiTheme="minorHAnsi" w:hAnsiTheme="minorHAnsi" w:cstheme="minorHAnsi"/>
          <w:b/>
        </w:rPr>
        <w:tab/>
        <w:t>3. Hätte der Fachmann bei Orientierung am Anspruchswortlaut im Lichte der Beschreibung die ersetzten Merkmale als gleichwertige Lösung in Betracht gezogen? (Gleichwertigkeit)»</w:t>
      </w:r>
    </w:p>
    <w:p w14:paraId="51994082"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b/>
        </w:rPr>
      </w:pPr>
      <w:r w:rsidRPr="00456F45">
        <w:rPr>
          <w:rFonts w:asciiTheme="minorHAnsi" w:hAnsiTheme="minorHAnsi" w:cstheme="minorHAnsi"/>
          <w:b/>
        </w:rPr>
        <w:tab/>
        <w:t xml:space="preserve">Werden alle drei Fragen bejaht, liegt eine Nachahmung im Sinne von Art. 66 Abs. a PatG vor. </w:t>
      </w:r>
    </w:p>
    <w:p w14:paraId="7F4CA5D9"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t xml:space="preserve">Die 2. Frage wurde vom Bundespatentgericht in einem späteren Urteil noch zusätzlich präzisiert. Dabei wurde festgehalten, dass zu beurteilen sei, ob die Gleichwirkung der ausgetauschten Merkmale für den Fachmann bei objektiver Betrachtung ausgehend von der Lehre des Klagepatents offensichtlich ist (BPatG O2014_002 vom 25.01.2016, Regeste). Der Ausgangspunkt für diese Beurteilung ist demnach das Klagepatent und nicht der allgemeine Stand der Technik. </w:t>
      </w:r>
    </w:p>
    <w:p w14:paraId="3A8361E1" w14:textId="77777777" w:rsidR="007E4A76" w:rsidRPr="00456F45" w:rsidRDefault="007E4A76" w:rsidP="0071289F">
      <w:pPr>
        <w:pStyle w:val="Mustertextklein"/>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b/>
      </w:r>
      <w:r w:rsidRPr="00456F45">
        <w:rPr>
          <w:rFonts w:asciiTheme="minorHAnsi" w:hAnsiTheme="minorHAnsi" w:cstheme="minorHAnsi"/>
          <w:b/>
        </w:rPr>
        <w:t>Bemerkung 9:</w:t>
      </w:r>
      <w:r w:rsidRPr="00456F45">
        <w:rPr>
          <w:rFonts w:asciiTheme="minorHAnsi" w:hAnsiTheme="minorHAnsi" w:cstheme="minorHAnsi"/>
        </w:rPr>
        <w:t xml:space="preserve"> Die Auslegung des Patentanspruchs darf jedoch nicht so weit gehen, dass Äquivalente unter den Schutzbereich fallen, die zum Stand der Technik gehören oder sich in naheliegender Weise aus dem Stand der Technik ergeben. Dabei handelt es sich um den sogenannten Formstein-Einwand oder Einwand des Standes der Technik (BGE 115 II 490 E.2.b und </w:t>
      </w:r>
      <w:r w:rsidRPr="00456F45">
        <w:rPr>
          <w:rFonts w:asciiTheme="minorHAnsi" w:hAnsiTheme="minorHAnsi" w:cstheme="minorHAnsi"/>
          <w:lang w:val="de-DE"/>
        </w:rPr>
        <w:t>Heinrich, PatG/EPÜ, Art</w:t>
      </w:r>
      <w:r w:rsidRPr="00456F45">
        <w:rPr>
          <w:rFonts w:asciiTheme="minorHAnsi" w:hAnsiTheme="minorHAnsi" w:cstheme="minorHAnsi"/>
        </w:rPr>
        <w:t xml:space="preserve">. 51 PatG  N 142). </w:t>
      </w:r>
    </w:p>
    <w:p w14:paraId="5D4ECBE1" w14:textId="77777777" w:rsidR="00CD319C" w:rsidRPr="00456F45" w:rsidRDefault="00CD319C" w:rsidP="0071289F">
      <w:pPr>
        <w:spacing w:after="200" w:line="276" w:lineRule="auto"/>
        <w:rPr>
          <w:rFonts w:cstheme="minorHAnsi"/>
          <w:b/>
          <w:sz w:val="18"/>
        </w:rPr>
      </w:pPr>
      <w:r w:rsidRPr="00456F45">
        <w:rPr>
          <w:rFonts w:cstheme="minorHAnsi"/>
        </w:rPr>
        <w:br w:type="page"/>
      </w:r>
    </w:p>
    <w:p w14:paraId="32F05A18" w14:textId="77777777" w:rsidR="007E4A76" w:rsidRPr="00456F45" w:rsidRDefault="007E4A76" w:rsidP="0071289F">
      <w:pPr>
        <w:pStyle w:val="MustertextTitelEbene1"/>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lastRenderedPageBreak/>
        <w:t>III.</w:t>
      </w:r>
      <w:r w:rsidRPr="00456F45">
        <w:rPr>
          <w:rFonts w:asciiTheme="minorHAnsi" w:hAnsiTheme="minorHAnsi" w:cstheme="minorHAnsi"/>
        </w:rPr>
        <w:tab/>
        <w:t>Zum Rechtsbegehren</w:t>
      </w:r>
    </w:p>
    <w:p w14:paraId="49BD1F03"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A. </w:t>
      </w:r>
      <w:r w:rsidRPr="00456F45">
        <w:rPr>
          <w:rFonts w:asciiTheme="minorHAnsi" w:hAnsiTheme="minorHAnsi" w:cstheme="minorHAnsi"/>
        </w:rPr>
        <w:tab/>
        <w:t xml:space="preserve">Patentverletzung durch die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w:t>
      </w:r>
    </w:p>
    <w:p w14:paraId="775B9D30"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Das Patent verschafft seinem Inhaber gemäss Art. 8 Abs. 1 PatG das Recht, anderen zu verbieten, die Erfindung gewerbsmässig zu benützen. </w:t>
      </w:r>
    </w:p>
    <w:p w14:paraId="10AA383F"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Als Benützung gelten nach Art. 8 Abs. 2 PatG insbesondere (und somit nicht nur) das Herstellen, das Lagern, das Anbieten, das Inverkehrbringen, die Ein</w:t>
      </w:r>
      <w:r w:rsidRPr="00456F45">
        <w:rPr>
          <w:rFonts w:asciiTheme="minorHAnsi" w:hAnsiTheme="minorHAnsi" w:cstheme="minorHAnsi"/>
        </w:rPr>
        <w:noBreakHyphen/>
        <w:t>, Aus</w:t>
      </w:r>
      <w:r w:rsidRPr="00456F45">
        <w:rPr>
          <w:rFonts w:asciiTheme="minorHAnsi" w:hAnsiTheme="minorHAnsi" w:cstheme="minorHAnsi"/>
        </w:rPr>
        <w:noBreakHyphen/>
        <w:t xml:space="preserve"> und Durchfuhr sowie der Besitz zu diesen Zwecken. </w:t>
      </w:r>
    </w:p>
    <w:p w14:paraId="6D3C7B76"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Gemäss Art. 66 </w:t>
      </w:r>
      <w:proofErr w:type="spellStart"/>
      <w:r w:rsidRPr="00456F45">
        <w:rPr>
          <w:rFonts w:asciiTheme="minorHAnsi" w:hAnsiTheme="minorHAnsi" w:cstheme="minorHAnsi"/>
        </w:rPr>
        <w:t>lit</w:t>
      </w:r>
      <w:proofErr w:type="spellEnd"/>
      <w:r w:rsidRPr="00456F45">
        <w:rPr>
          <w:rFonts w:asciiTheme="minorHAnsi" w:hAnsiTheme="minorHAnsi" w:cstheme="minorHAnsi"/>
        </w:rPr>
        <w:t>. a PatG kann zivil</w:t>
      </w:r>
      <w:r w:rsidRPr="00456F45">
        <w:rPr>
          <w:rFonts w:asciiTheme="minorHAnsi" w:hAnsiTheme="minorHAnsi" w:cstheme="minorHAnsi"/>
        </w:rPr>
        <w:noBreakHyphen/>
        <w:t xml:space="preserve"> und strafrechtlich unter anderem zur Verantwortung gezogen werden, wer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a) die patentierte Erfindung widerrechtlich benützt, wobei als Benützung auch die Nachahmung gilt. Der Patentinhaber hat insbesondere einen Unterlassungsanspruch. </w:t>
      </w:r>
    </w:p>
    <w:p w14:paraId="44594F02" w14:textId="77777777" w:rsidR="00F01CC3" w:rsidRPr="00456F45" w:rsidRDefault="00F46C23"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B</w:t>
      </w:r>
      <w:r w:rsidR="00F01CC3" w:rsidRPr="00456F45">
        <w:rPr>
          <w:rFonts w:asciiTheme="minorHAnsi" w:hAnsiTheme="minorHAnsi" w:cstheme="minorHAnsi"/>
        </w:rPr>
        <w:t xml:space="preserve">. </w:t>
      </w:r>
      <w:r w:rsidRPr="00456F45">
        <w:rPr>
          <w:rFonts w:asciiTheme="minorHAnsi" w:hAnsiTheme="minorHAnsi" w:cstheme="minorHAnsi"/>
        </w:rPr>
        <w:tab/>
      </w:r>
      <w:r w:rsidR="00F01CC3" w:rsidRPr="00456F45">
        <w:rPr>
          <w:rFonts w:asciiTheme="minorHAnsi" w:hAnsiTheme="minorHAnsi" w:cstheme="minorHAnsi"/>
        </w:rPr>
        <w:t>Anspruch auf Erlass vorsorglicher Massnahmen</w:t>
      </w:r>
    </w:p>
    <w:p w14:paraId="3138E45B"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Nach Art. 77 Abs. 1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a PatG kann der Patentinhaber Massnahmen zur vorläufigen Vollstreckung von Unterlassungsansprüchen  verlangen. </w:t>
      </w:r>
    </w:p>
    <w:p w14:paraId="6E9D4EB9"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Voraussetzung für deren Erlass sind zunächst die Glaubhaftmachung der Rechtsbeständig</w:t>
      </w:r>
      <w:r w:rsidR="0033781A" w:rsidRPr="00456F45">
        <w:rPr>
          <w:rFonts w:asciiTheme="minorHAnsi" w:hAnsiTheme="minorHAnsi" w:cstheme="minorHAnsi"/>
        </w:rPr>
        <w:t>-</w:t>
      </w:r>
      <w:proofErr w:type="spellStart"/>
      <w:r w:rsidRPr="00456F45">
        <w:rPr>
          <w:rFonts w:asciiTheme="minorHAnsi" w:hAnsiTheme="minorHAnsi" w:cstheme="minorHAnsi"/>
        </w:rPr>
        <w:t>keit</w:t>
      </w:r>
      <w:proofErr w:type="spellEnd"/>
      <w:r w:rsidRPr="00456F45">
        <w:rPr>
          <w:rFonts w:asciiTheme="minorHAnsi" w:hAnsiTheme="minorHAnsi" w:cstheme="minorHAnsi"/>
        </w:rPr>
        <w:t xml:space="preserve"> des </w:t>
      </w:r>
      <w:proofErr w:type="spellStart"/>
      <w:r w:rsidRPr="00456F45">
        <w:rPr>
          <w:rFonts w:asciiTheme="minorHAnsi" w:hAnsiTheme="minorHAnsi" w:cstheme="minorHAnsi"/>
        </w:rPr>
        <w:t>Massnahmepatents</w:t>
      </w:r>
      <w:proofErr w:type="spellEnd"/>
      <w:r w:rsidRPr="00456F45">
        <w:rPr>
          <w:rFonts w:asciiTheme="minorHAnsi" w:hAnsiTheme="minorHAnsi" w:cstheme="minorHAnsi"/>
        </w:rPr>
        <w:t xml:space="preserve"> und die Glaubhaftmachung von dessen Verletzung, sog. Hauptsachenprognose. Sodann ist glaubhaft zu machen, dass der Gesuchstellerin aus der Verletzung, wenn sie bis zum Endurteil andauert, ein nicht leicht ersetzbarer Nachteil droht (Art. 261 Abs. 1 </w:t>
      </w:r>
      <w:proofErr w:type="spellStart"/>
      <w:r w:rsidRPr="00456F45">
        <w:rPr>
          <w:rFonts w:asciiTheme="minorHAnsi" w:hAnsiTheme="minorHAnsi" w:cstheme="minorHAnsi"/>
        </w:rPr>
        <w:t>lit</w:t>
      </w:r>
      <w:proofErr w:type="spellEnd"/>
      <w:r w:rsidRPr="00456F45">
        <w:rPr>
          <w:rFonts w:asciiTheme="minorHAnsi" w:hAnsiTheme="minorHAnsi" w:cstheme="minorHAnsi"/>
        </w:rPr>
        <w:t xml:space="preserve">. b ZPO). </w:t>
      </w:r>
    </w:p>
    <w:p w14:paraId="23E1FCFB" w14:textId="77777777" w:rsidR="001049FC" w:rsidRPr="00456F45" w:rsidRDefault="00F46C23"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C</w:t>
      </w:r>
      <w:r w:rsidR="001049FC" w:rsidRPr="00456F45">
        <w:rPr>
          <w:rFonts w:asciiTheme="minorHAnsi" w:hAnsiTheme="minorHAnsi" w:cstheme="minorHAnsi"/>
        </w:rPr>
        <w:t xml:space="preserve">. </w:t>
      </w:r>
      <w:r w:rsidRPr="00456F45">
        <w:rPr>
          <w:rFonts w:asciiTheme="minorHAnsi" w:hAnsiTheme="minorHAnsi" w:cstheme="minorHAnsi"/>
        </w:rPr>
        <w:tab/>
      </w:r>
      <w:r w:rsidR="001049FC" w:rsidRPr="00456F45">
        <w:rPr>
          <w:rFonts w:asciiTheme="minorHAnsi" w:hAnsiTheme="minorHAnsi" w:cstheme="minorHAnsi"/>
        </w:rPr>
        <w:t xml:space="preserve">Glaubhaftmachung der Rechtsbeständigkeit und der Verletzung </w:t>
      </w:r>
    </w:p>
    <w:p w14:paraId="2FB2E0B5"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Die Gesuchstellerin verfügt mit EP 9'999'999 über ein geprüftes, unangefochtenes Patent. Dessen Verletzung ist durch die Zusammensetzung des Produkts der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gemäss deren Packungsbeilage erstellt. Zusätzlich hat die Gesuchstellerin das Produkt der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durch ein unabhängiges Labor analysieren lassen; die Analyse bestätigt die Angaben auf der Packungsbeilage. </w:t>
      </w:r>
    </w:p>
    <w:p w14:paraId="7C634A14" w14:textId="77777777" w:rsidR="007E4A76" w:rsidRPr="00456F45" w:rsidRDefault="007E4A76" w:rsidP="0071289F">
      <w:pPr>
        <w:pStyle w:val="MustertextBO"/>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b/>
        </w:rPr>
        <w:tab/>
        <w:t>BO:</w:t>
      </w:r>
      <w:r w:rsidRPr="00456F45">
        <w:rPr>
          <w:rFonts w:asciiTheme="minorHAnsi" w:hAnsiTheme="minorHAnsi" w:cstheme="minorHAnsi"/>
        </w:rPr>
        <w:t xml:space="preserve"> Analyse des Labors </w:t>
      </w:r>
      <w:proofErr w:type="spellStart"/>
      <w:r w:rsidRPr="00456F45">
        <w:rPr>
          <w:rFonts w:asciiTheme="minorHAnsi" w:hAnsiTheme="minorHAnsi" w:cstheme="minorHAnsi"/>
        </w:rPr>
        <w:t>xyz</w:t>
      </w:r>
      <w:proofErr w:type="spellEnd"/>
      <w:r w:rsidRPr="00456F45">
        <w:rPr>
          <w:rFonts w:asciiTheme="minorHAnsi" w:hAnsiTheme="minorHAnsi" w:cstheme="minorHAnsi"/>
        </w:rPr>
        <w:t xml:space="preserve"> vom [Datum]</w:t>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rPr>
        <w:tab/>
      </w:r>
      <w:r w:rsidRPr="00456F45">
        <w:rPr>
          <w:rFonts w:asciiTheme="minorHAnsi" w:hAnsiTheme="minorHAnsi" w:cstheme="minorHAnsi"/>
          <w:b/>
        </w:rPr>
        <w:t>Beilage 12</w:t>
      </w:r>
      <w:r w:rsidRPr="00456F45">
        <w:rPr>
          <w:rFonts w:asciiTheme="minorHAnsi" w:hAnsiTheme="minorHAnsi" w:cstheme="minorHAnsi"/>
        </w:rPr>
        <w:t xml:space="preserve"> </w:t>
      </w:r>
    </w:p>
    <w:p w14:paraId="081DE8AA"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Rechtsbeständigkeit und Verletzung sind daher glaubhaft gemacht, wenn nicht geradezu bereits bewiesen. </w:t>
      </w:r>
    </w:p>
    <w:p w14:paraId="7E737DEC" w14:textId="77777777" w:rsidR="007E4A76" w:rsidRPr="00456F45" w:rsidRDefault="007E4A76" w:rsidP="0071289F">
      <w:pPr>
        <w:pStyle w:val="MustertextTitelEbene3"/>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 </w:t>
      </w:r>
      <w:r w:rsidRPr="00456F45">
        <w:rPr>
          <w:rFonts w:asciiTheme="minorHAnsi" w:hAnsiTheme="minorHAnsi" w:cstheme="minorHAnsi"/>
        </w:rPr>
        <w:tab/>
        <w:t xml:space="preserve">Nicht leicht ersetzbarer Nachteil </w:t>
      </w:r>
    </w:p>
    <w:p w14:paraId="2FB2C178"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Der nicht leicht ersetzbare Nachteil besteht darin, dass die </w:t>
      </w:r>
      <w:proofErr w:type="spellStart"/>
      <w:r w:rsidRPr="00456F45">
        <w:rPr>
          <w:rFonts w:asciiTheme="minorHAnsi" w:hAnsiTheme="minorHAnsi" w:cstheme="minorHAnsi"/>
        </w:rPr>
        <w:t>Gesuchsgegnerin</w:t>
      </w:r>
      <w:proofErr w:type="spellEnd"/>
      <w:r w:rsidRPr="00456F45">
        <w:rPr>
          <w:rFonts w:asciiTheme="minorHAnsi" w:hAnsiTheme="minorHAnsi" w:cstheme="minorHAnsi"/>
        </w:rPr>
        <w:t xml:space="preserve"> 1 ihr Produkt sehr aggressiv vermarktet und damit der Gesuchstellerin auf dem Markt einen erheblichen Schaden zufügt, der kaum wieder gutzumachen ist. Dieser Schaden ist grösser und bedeutender als ein blosser Schadenersatz, der im Hauptverfahren geltend zu machen sein wird. </w:t>
      </w:r>
    </w:p>
    <w:p w14:paraId="77B4E072"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Es droht insbesondere eine Marktverwirrung, indem das Produkt der Gesuchstellerin und dasjenige der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 in praktisch identischer Zusammensetzung – gleichzeitig auf dem Markt sind, was die Konsumenten denken lässt, es handle sich um dasselbe Produkt von zwei in irgendeiner Weise verbundenen Unternehmen. </w:t>
      </w:r>
    </w:p>
    <w:p w14:paraId="71137D08"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Die Dringlichkeit besteht darin, dass die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mit ihrem stossend patentverletzenden Verhalten in einen Markt vordringen, welcher der Gesuchstellerin aufgrund ihres Patentes alleine zusteht. Wird den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nicht der Riegel geschoben, können sich die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fussend auf einer eklatanten Patent-verletzung in einem Markt etablieren, den sie rechtmässig mit ihrem Produkt gar nicht bearbeiten dürfen. </w:t>
      </w:r>
    </w:p>
    <w:p w14:paraId="13B0936B" w14:textId="77777777" w:rsidR="007E4A76" w:rsidRPr="00456F45" w:rsidRDefault="007E4A76" w:rsidP="0071289F">
      <w:pPr>
        <w:pStyle w:val="MustertextTitelEbene2"/>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lastRenderedPageBreak/>
        <w:t xml:space="preserve">E. </w:t>
      </w:r>
      <w:r w:rsidRPr="00456F45">
        <w:rPr>
          <w:rFonts w:asciiTheme="minorHAnsi" w:hAnsiTheme="minorHAnsi" w:cstheme="minorHAnsi"/>
        </w:rPr>
        <w:tab/>
        <w:t>Kosten</w:t>
      </w:r>
      <w:r w:rsidRPr="00456F45">
        <w:rPr>
          <w:rFonts w:asciiTheme="minorHAnsi" w:hAnsiTheme="minorHAnsi" w:cstheme="minorHAnsi"/>
        </w:rPr>
        <w:noBreakHyphen/>
        <w:t xml:space="preserve"> und Entschädigungsfolgen</w:t>
      </w:r>
    </w:p>
    <w:p w14:paraId="78143EEB" w14:textId="77777777" w:rsidR="007E4A76" w:rsidRPr="00456F45" w:rsidRDefault="007E4A76" w:rsidP="0071289F">
      <w:pPr>
        <w:pStyle w:val="MustertextListe0"/>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 xml:space="preserve">Ausgangsgemäss sind die </w:t>
      </w:r>
      <w:proofErr w:type="spellStart"/>
      <w:r w:rsidRPr="00456F45">
        <w:rPr>
          <w:rFonts w:asciiTheme="minorHAnsi" w:hAnsiTheme="minorHAnsi" w:cstheme="minorHAnsi"/>
        </w:rPr>
        <w:t>Gesuchsgegnerinnen</w:t>
      </w:r>
      <w:proofErr w:type="spellEnd"/>
      <w:r w:rsidRPr="00456F45">
        <w:rPr>
          <w:rFonts w:asciiTheme="minorHAnsi" w:hAnsiTheme="minorHAnsi" w:cstheme="minorHAnsi"/>
        </w:rPr>
        <w:t xml:space="preserve"> solidarisch zur Übernahme der Gerichtskosten einschliesslich allfälliger Expertise</w:t>
      </w:r>
      <w:r w:rsidRPr="00456F45">
        <w:rPr>
          <w:rFonts w:asciiTheme="minorHAnsi" w:hAnsiTheme="minorHAnsi" w:cstheme="minorHAnsi"/>
        </w:rPr>
        <w:noBreakHyphen/>
        <w:t xml:space="preserve"> und Zeugenkosten zu verpflichten. Sie haben sodann der Gesuchstellerin eine angemessene Parteientschädigung zu bezahlen, zuzüglich der Auslagen für den beigezogenen Patentanwalt (Art. 3 ff. KR-</w:t>
      </w:r>
      <w:proofErr w:type="spellStart"/>
      <w:r w:rsidRPr="00456F45">
        <w:rPr>
          <w:rFonts w:asciiTheme="minorHAnsi" w:hAnsiTheme="minorHAnsi" w:cstheme="minorHAnsi"/>
        </w:rPr>
        <w:t>PatGer</w:t>
      </w:r>
      <w:proofErr w:type="spellEnd"/>
      <w:r w:rsidRPr="00456F45">
        <w:rPr>
          <w:rFonts w:asciiTheme="minorHAnsi" w:hAnsiTheme="minorHAnsi" w:cstheme="minorHAnsi"/>
        </w:rPr>
        <w:t xml:space="preserve">). </w:t>
      </w:r>
    </w:p>
    <w:p w14:paraId="3BBEAF6A"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p>
    <w:p w14:paraId="1D5C3AAB"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Mit freundlichen Grüssen</w:t>
      </w:r>
    </w:p>
    <w:p w14:paraId="76437EB2"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[Unterschrift des Rechtsanwaltes der Klägerin]</w:t>
      </w:r>
    </w:p>
    <w:p w14:paraId="166064EF"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[Name des Rechtsanwaltes der Klägerin]</w:t>
      </w:r>
    </w:p>
    <w:p w14:paraId="0B0CD874"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Im Doppel</w:t>
      </w:r>
    </w:p>
    <w:p w14:paraId="06D89364" w14:textId="77777777" w:rsidR="007E4A76" w:rsidRPr="00456F45" w:rsidRDefault="007E4A76" w:rsidP="0071289F">
      <w:pPr>
        <w:pStyle w:val="Mustertext"/>
        <w:pBdr>
          <w:left w:val="none" w:sz="0" w:space="0" w:color="auto"/>
          <w:right w:val="none" w:sz="0" w:space="0" w:color="auto"/>
        </w:pBdr>
        <w:shd w:val="clear" w:color="auto" w:fill="auto"/>
        <w:rPr>
          <w:rFonts w:asciiTheme="minorHAnsi" w:hAnsiTheme="minorHAnsi" w:cstheme="minorHAnsi"/>
        </w:rPr>
      </w:pPr>
      <w:r w:rsidRPr="00456F45">
        <w:rPr>
          <w:rFonts w:asciiTheme="minorHAnsi" w:hAnsiTheme="minorHAnsi" w:cstheme="minorHAnsi"/>
        </w:rPr>
        <w:t>Beilagen gemäss separatem Beweismittelverzeichnis</w:t>
      </w:r>
    </w:p>
    <w:p w14:paraId="3D9B0E1D" w14:textId="77777777" w:rsidR="007E4A76" w:rsidRPr="00456F45" w:rsidRDefault="007E4A76" w:rsidP="0071289F">
      <w:pPr>
        <w:pStyle w:val="Mustertextleer"/>
        <w:pBdr>
          <w:left w:val="none" w:sz="0" w:space="0" w:color="auto"/>
          <w:right w:val="none" w:sz="0" w:space="0" w:color="auto"/>
        </w:pBdr>
        <w:shd w:val="clear" w:color="auto" w:fill="auto"/>
        <w:rPr>
          <w:rFonts w:asciiTheme="minorHAnsi" w:hAnsiTheme="minorHAnsi" w:cstheme="minorHAnsi"/>
        </w:rPr>
      </w:pPr>
    </w:p>
    <w:p w14:paraId="00793D84" w14:textId="77777777" w:rsidR="007E4A76" w:rsidRPr="00456F45" w:rsidRDefault="007E4A76" w:rsidP="0071289F">
      <w:pPr>
        <w:pStyle w:val="BoxEnde"/>
        <w:pBdr>
          <w:left w:val="none" w:sz="0" w:space="0" w:color="auto"/>
          <w:bottom w:val="none" w:sz="0" w:space="0" w:color="auto"/>
          <w:right w:val="none" w:sz="0" w:space="0" w:color="auto"/>
        </w:pBdr>
        <w:shd w:val="clear" w:color="auto" w:fill="auto"/>
        <w:rPr>
          <w:rFonts w:asciiTheme="minorHAnsi" w:hAnsiTheme="minorHAnsi" w:cstheme="minorHAnsi"/>
        </w:rPr>
      </w:pPr>
    </w:p>
    <w:p w14:paraId="5174605D" w14:textId="70299F49" w:rsidR="00B86160" w:rsidRPr="00456F45" w:rsidRDefault="00915289" w:rsidP="0071289F">
      <w:pPr>
        <w:pStyle w:val="Text"/>
        <w:rPr>
          <w:rFonts w:asciiTheme="minorHAnsi" w:hAnsiTheme="minorHAnsi" w:cstheme="minorHAnsi"/>
        </w:rPr>
      </w:pPr>
      <w:r w:rsidRPr="00456F45">
        <w:rPr>
          <w:rFonts w:asciiTheme="minorHAnsi" w:hAnsiTheme="minorHAnsi" w:cstheme="minorHAnsi"/>
          <w:lang w:val="de-DE"/>
        </w:rPr>
        <w:t xml:space="preserve"> </w:t>
      </w:r>
    </w:p>
    <w:sectPr w:rsidR="00B86160" w:rsidRPr="00456F45" w:rsidSect="00E85086">
      <w:headerReference w:type="even" r:id="rId7"/>
      <w:headerReference w:type="default" r:id="rId8"/>
      <w:footerReference w:type="even" r:id="rId9"/>
      <w:footerReference w:type="default" r:id="rId10"/>
      <w:headerReference w:type="first" r:id="rId11"/>
      <w:footerReference w:type="first" r:id="rId12"/>
      <w:pgSz w:w="9639" w:h="13608" w:orient="landscape"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6096" w14:textId="77777777" w:rsidR="00527916" w:rsidRDefault="00527916" w:rsidP="00CF4D66">
      <w:pPr>
        <w:spacing w:after="0" w:line="240" w:lineRule="auto"/>
      </w:pPr>
      <w:r>
        <w:separator/>
      </w:r>
    </w:p>
  </w:endnote>
  <w:endnote w:type="continuationSeparator" w:id="0">
    <w:p w14:paraId="261BAEAC" w14:textId="77777777" w:rsidR="00527916" w:rsidRDefault="00527916" w:rsidP="00CF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EFFC" w14:textId="77777777" w:rsidR="0071289F" w:rsidRDefault="0071289F" w:rsidP="0071289F">
    <w:pPr>
      <w:pStyle w:val="KeinAbsatzformat"/>
      <w:rPr>
        <w:rStyle w:val="z5Blockade"/>
        <w:rFonts w:ascii="Arial" w:hAnsi="Arial" w:cs="Arial"/>
        <w:color w:val="A6A6A6" w:themeColor="background1" w:themeShade="A6"/>
        <w:sz w:val="12"/>
        <w:szCs w:val="12"/>
      </w:rPr>
    </w:pPr>
  </w:p>
  <w:p w14:paraId="1569F713" w14:textId="76AD93D9" w:rsidR="00527916" w:rsidRPr="0071289F" w:rsidRDefault="0071289F" w:rsidP="0071289F">
    <w:pPr>
      <w:pStyle w:val="KeinAbsatzformat"/>
      <w:rPr>
        <w:rFonts w:ascii="Arial" w:hAnsi="Arial" w:cs="Arial"/>
        <w:color w:val="A6A6A6" w:themeColor="background1" w:themeShade="A6"/>
        <w:sz w:val="12"/>
        <w:szCs w:val="12"/>
      </w:rPr>
    </w:pPr>
    <w:r w:rsidRPr="0071289F">
      <w:rPr>
        <w:rStyle w:val="z5Blockade"/>
        <w:rFonts w:ascii="Arial" w:hAnsi="Arial" w:cs="Arial"/>
        <w:color w:val="A6A6A6" w:themeColor="background1" w:themeShade="A6"/>
        <w:sz w:val="12"/>
        <w:szCs w:val="12"/>
      </w:rPr>
      <w:t xml:space="preserve">Quelle: </w:t>
    </w:r>
    <w:r w:rsidRPr="0071289F">
      <w:rPr>
        <w:rStyle w:val="z5Blockade"/>
        <w:rFonts w:ascii="Arial" w:hAnsi="Arial" w:cs="Arial"/>
        <w:smallCaps/>
        <w:color w:val="A6A6A6" w:themeColor="background1" w:themeShade="A6"/>
        <w:sz w:val="12"/>
        <w:szCs w:val="12"/>
      </w:rPr>
      <w:t xml:space="preserve">Robert G. </w:t>
    </w:r>
    <w:proofErr w:type="spellStart"/>
    <w:r w:rsidRPr="0071289F">
      <w:rPr>
        <w:rStyle w:val="z5Blockade"/>
        <w:rFonts w:ascii="Arial" w:hAnsi="Arial" w:cs="Arial"/>
        <w:smallCaps/>
        <w:color w:val="A6A6A6" w:themeColor="background1" w:themeShade="A6"/>
        <w:sz w:val="12"/>
        <w:szCs w:val="12"/>
      </w:rPr>
      <w:t>Briner</w:t>
    </w:r>
    <w:proofErr w:type="spellEnd"/>
    <w:r w:rsidRPr="0071289F">
      <w:rPr>
        <w:rStyle w:val="z5Blockade"/>
        <w:rFonts w:ascii="Arial" w:hAnsi="Arial" w:cs="Arial"/>
        <w:smallCaps/>
        <w:color w:val="A6A6A6" w:themeColor="background1" w:themeShade="A6"/>
        <w:sz w:val="12"/>
        <w:szCs w:val="12"/>
      </w:rPr>
      <w:t>/Cornelia Hoffmann</w:t>
    </w:r>
    <w:r w:rsidRPr="0071289F">
      <w:rPr>
        <w:rStyle w:val="z5Blockade"/>
        <w:rFonts w:ascii="Arial" w:hAnsi="Arial" w:cs="Arial"/>
        <w:color w:val="A6A6A6" w:themeColor="background1" w:themeShade="A6"/>
        <w:sz w:val="12"/>
        <w:szCs w:val="12"/>
      </w:rPr>
      <w:t xml:space="preserve">, § 51 Vorsorgliche </w:t>
    </w:r>
    <w:proofErr w:type="spellStart"/>
    <w:r w:rsidRPr="0071289F">
      <w:rPr>
        <w:rStyle w:val="z5Blockade"/>
        <w:rFonts w:ascii="Arial" w:hAnsi="Arial" w:cs="Arial"/>
        <w:color w:val="A6A6A6" w:themeColor="background1" w:themeShade="A6"/>
        <w:sz w:val="12"/>
        <w:szCs w:val="12"/>
      </w:rPr>
      <w:t>Massnahmen</w:t>
    </w:r>
    <w:proofErr w:type="spellEnd"/>
    <w:r w:rsidRPr="0071289F">
      <w:rPr>
        <w:rStyle w:val="z5Blockade"/>
        <w:rFonts w:ascii="Arial" w:hAnsi="Arial" w:cs="Arial"/>
        <w:color w:val="A6A6A6" w:themeColor="background1" w:themeShade="A6"/>
        <w:sz w:val="12"/>
        <w:szCs w:val="12"/>
      </w:rPr>
      <w:t xml:space="preserve"> bei Patentverletzung, in: Fischer/</w:t>
    </w:r>
    <w:r>
      <w:rPr>
        <w:rStyle w:val="z5Blockade"/>
        <w:rFonts w:ascii="Arial" w:hAnsi="Arial" w:cs="Arial"/>
        <w:color w:val="A6A6A6" w:themeColor="background1" w:themeShade="A6"/>
        <w:sz w:val="12"/>
        <w:szCs w:val="12"/>
      </w:rPr>
      <w:br/>
    </w:r>
    <w:proofErr w:type="spellStart"/>
    <w:r w:rsidRPr="0071289F">
      <w:rPr>
        <w:rStyle w:val="z5Blockade"/>
        <w:rFonts w:ascii="Arial" w:hAnsi="Arial" w:cs="Arial"/>
        <w:color w:val="A6A6A6" w:themeColor="background1" w:themeShade="A6"/>
        <w:sz w:val="12"/>
        <w:szCs w:val="12"/>
      </w:rPr>
      <w:t>Theus</w:t>
    </w:r>
    <w:proofErr w:type="spellEnd"/>
    <w:r w:rsidRPr="0071289F">
      <w:rPr>
        <w:rStyle w:val="z5Blockade"/>
        <w:rFonts w:ascii="Arial" w:hAnsi="Arial" w:cs="Arial"/>
        <w:color w:val="A6A6A6" w:themeColor="background1" w:themeShade="A6"/>
        <w:sz w:val="12"/>
        <w:szCs w:val="12"/>
      </w:rPr>
      <w:t xml:space="preserve"> </w:t>
    </w:r>
    <w:proofErr w:type="spellStart"/>
    <w:r w:rsidRPr="0071289F">
      <w:rPr>
        <w:rStyle w:val="z5Blockade"/>
        <w:rFonts w:ascii="Arial" w:hAnsi="Arial" w:cs="Arial"/>
        <w:color w:val="A6A6A6" w:themeColor="background1" w:themeShade="A6"/>
        <w:sz w:val="12"/>
        <w:szCs w:val="12"/>
      </w:rPr>
      <w:t>Simoni</w:t>
    </w:r>
    <w:proofErr w:type="spellEnd"/>
    <w:r w:rsidRPr="0071289F">
      <w:rPr>
        <w:rStyle w:val="z5Blockade"/>
        <w:rFonts w:ascii="Arial" w:hAnsi="Arial" w:cs="Arial"/>
        <w:color w:val="A6A6A6" w:themeColor="background1" w:themeShade="A6"/>
        <w:sz w:val="12"/>
        <w:szCs w:val="12"/>
      </w:rPr>
      <w:t>/</w:t>
    </w:r>
    <w:proofErr w:type="spellStart"/>
    <w:r w:rsidRPr="0071289F">
      <w:rPr>
        <w:rStyle w:val="z5Blockade"/>
        <w:rFonts w:ascii="Arial" w:hAnsi="Arial" w:cs="Arial"/>
        <w:color w:val="A6A6A6" w:themeColor="background1" w:themeShade="A6"/>
        <w:sz w:val="12"/>
        <w:szCs w:val="12"/>
      </w:rPr>
      <w:t>Gessler</w:t>
    </w:r>
    <w:proofErr w:type="spellEnd"/>
    <w:r w:rsidRPr="0071289F">
      <w:rPr>
        <w:rStyle w:val="z5Blockade"/>
        <w:rFonts w:ascii="Arial" w:hAnsi="Arial" w:cs="Arial"/>
        <w:color w:val="A6A6A6" w:themeColor="background1" w:themeShade="A6"/>
        <w:sz w:val="12"/>
        <w:szCs w:val="12"/>
      </w:rPr>
      <w:t xml:space="preserve"> (Hrsg.), Kommentierte Musterklagen zum Gesellschaftsrecht und zum Geistigen Eigentum, Schulthess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F640" w14:textId="77777777" w:rsidR="0071289F" w:rsidRDefault="0071289F" w:rsidP="0071289F">
    <w:pPr>
      <w:pStyle w:val="KeinAbsatzformat"/>
      <w:rPr>
        <w:rStyle w:val="z5Blockade"/>
        <w:rFonts w:ascii="Arial" w:hAnsi="Arial" w:cs="Arial"/>
        <w:color w:val="A6A6A6" w:themeColor="background1" w:themeShade="A6"/>
        <w:sz w:val="12"/>
        <w:szCs w:val="12"/>
      </w:rPr>
    </w:pPr>
  </w:p>
  <w:p w14:paraId="14F45072" w14:textId="343BD6D6" w:rsidR="00527916" w:rsidRPr="0071289F" w:rsidRDefault="0071289F" w:rsidP="0071289F">
    <w:pPr>
      <w:pStyle w:val="KeinAbsatzformat"/>
      <w:rPr>
        <w:rFonts w:ascii="Arial" w:hAnsi="Arial" w:cs="Arial"/>
        <w:color w:val="A6A6A6" w:themeColor="background1" w:themeShade="A6"/>
        <w:sz w:val="12"/>
        <w:szCs w:val="12"/>
      </w:rPr>
    </w:pPr>
    <w:r w:rsidRPr="0071289F">
      <w:rPr>
        <w:rStyle w:val="z5Blockade"/>
        <w:rFonts w:ascii="Arial" w:hAnsi="Arial" w:cs="Arial"/>
        <w:color w:val="A6A6A6" w:themeColor="background1" w:themeShade="A6"/>
        <w:sz w:val="12"/>
        <w:szCs w:val="12"/>
      </w:rPr>
      <w:t xml:space="preserve">Quelle: </w:t>
    </w:r>
    <w:r w:rsidRPr="0071289F">
      <w:rPr>
        <w:rStyle w:val="z5Blockade"/>
        <w:rFonts w:ascii="Arial" w:hAnsi="Arial" w:cs="Arial"/>
        <w:smallCaps/>
        <w:color w:val="A6A6A6" w:themeColor="background1" w:themeShade="A6"/>
        <w:sz w:val="12"/>
        <w:szCs w:val="12"/>
      </w:rPr>
      <w:t xml:space="preserve">Robert G. </w:t>
    </w:r>
    <w:proofErr w:type="spellStart"/>
    <w:r w:rsidRPr="0071289F">
      <w:rPr>
        <w:rStyle w:val="z5Blockade"/>
        <w:rFonts w:ascii="Arial" w:hAnsi="Arial" w:cs="Arial"/>
        <w:smallCaps/>
        <w:color w:val="A6A6A6" w:themeColor="background1" w:themeShade="A6"/>
        <w:sz w:val="12"/>
        <w:szCs w:val="12"/>
      </w:rPr>
      <w:t>Briner</w:t>
    </w:r>
    <w:proofErr w:type="spellEnd"/>
    <w:r w:rsidRPr="0071289F">
      <w:rPr>
        <w:rStyle w:val="z5Blockade"/>
        <w:rFonts w:ascii="Arial" w:hAnsi="Arial" w:cs="Arial"/>
        <w:smallCaps/>
        <w:color w:val="A6A6A6" w:themeColor="background1" w:themeShade="A6"/>
        <w:sz w:val="12"/>
        <w:szCs w:val="12"/>
      </w:rPr>
      <w:t>/Cornelia Hoffmann</w:t>
    </w:r>
    <w:r w:rsidRPr="0071289F">
      <w:rPr>
        <w:rStyle w:val="z5Blockade"/>
        <w:rFonts w:ascii="Arial" w:hAnsi="Arial" w:cs="Arial"/>
        <w:color w:val="A6A6A6" w:themeColor="background1" w:themeShade="A6"/>
        <w:sz w:val="12"/>
        <w:szCs w:val="12"/>
      </w:rPr>
      <w:t xml:space="preserve">, § 51 Vorsorgliche </w:t>
    </w:r>
    <w:proofErr w:type="spellStart"/>
    <w:r w:rsidRPr="0071289F">
      <w:rPr>
        <w:rStyle w:val="z5Blockade"/>
        <w:rFonts w:ascii="Arial" w:hAnsi="Arial" w:cs="Arial"/>
        <w:color w:val="A6A6A6" w:themeColor="background1" w:themeShade="A6"/>
        <w:sz w:val="12"/>
        <w:szCs w:val="12"/>
      </w:rPr>
      <w:t>Massnahmen</w:t>
    </w:r>
    <w:proofErr w:type="spellEnd"/>
    <w:r w:rsidRPr="0071289F">
      <w:rPr>
        <w:rStyle w:val="z5Blockade"/>
        <w:rFonts w:ascii="Arial" w:hAnsi="Arial" w:cs="Arial"/>
        <w:color w:val="A6A6A6" w:themeColor="background1" w:themeShade="A6"/>
        <w:sz w:val="12"/>
        <w:szCs w:val="12"/>
      </w:rPr>
      <w:t xml:space="preserve"> bei Patentverletzung, in: Fischer/</w:t>
    </w:r>
    <w:r>
      <w:rPr>
        <w:rStyle w:val="z5Blockade"/>
        <w:rFonts w:ascii="Arial" w:hAnsi="Arial" w:cs="Arial"/>
        <w:color w:val="A6A6A6" w:themeColor="background1" w:themeShade="A6"/>
        <w:sz w:val="12"/>
        <w:szCs w:val="12"/>
      </w:rPr>
      <w:br/>
    </w:r>
    <w:proofErr w:type="spellStart"/>
    <w:r w:rsidRPr="0071289F">
      <w:rPr>
        <w:rStyle w:val="z5Blockade"/>
        <w:rFonts w:ascii="Arial" w:hAnsi="Arial" w:cs="Arial"/>
        <w:color w:val="A6A6A6" w:themeColor="background1" w:themeShade="A6"/>
        <w:sz w:val="12"/>
        <w:szCs w:val="12"/>
      </w:rPr>
      <w:t>Theus</w:t>
    </w:r>
    <w:proofErr w:type="spellEnd"/>
    <w:r w:rsidRPr="0071289F">
      <w:rPr>
        <w:rStyle w:val="z5Blockade"/>
        <w:rFonts w:ascii="Arial" w:hAnsi="Arial" w:cs="Arial"/>
        <w:color w:val="A6A6A6" w:themeColor="background1" w:themeShade="A6"/>
        <w:sz w:val="12"/>
        <w:szCs w:val="12"/>
      </w:rPr>
      <w:t xml:space="preserve"> </w:t>
    </w:r>
    <w:proofErr w:type="spellStart"/>
    <w:r w:rsidRPr="0071289F">
      <w:rPr>
        <w:rStyle w:val="z5Blockade"/>
        <w:rFonts w:ascii="Arial" w:hAnsi="Arial" w:cs="Arial"/>
        <w:color w:val="A6A6A6" w:themeColor="background1" w:themeShade="A6"/>
        <w:sz w:val="12"/>
        <w:szCs w:val="12"/>
      </w:rPr>
      <w:t>Simoni</w:t>
    </w:r>
    <w:proofErr w:type="spellEnd"/>
    <w:r w:rsidRPr="0071289F">
      <w:rPr>
        <w:rStyle w:val="z5Blockade"/>
        <w:rFonts w:ascii="Arial" w:hAnsi="Arial" w:cs="Arial"/>
        <w:color w:val="A6A6A6" w:themeColor="background1" w:themeShade="A6"/>
        <w:sz w:val="12"/>
        <w:szCs w:val="12"/>
      </w:rPr>
      <w:t>/</w:t>
    </w:r>
    <w:proofErr w:type="spellStart"/>
    <w:r w:rsidRPr="0071289F">
      <w:rPr>
        <w:rStyle w:val="z5Blockade"/>
        <w:rFonts w:ascii="Arial" w:hAnsi="Arial" w:cs="Arial"/>
        <w:color w:val="A6A6A6" w:themeColor="background1" w:themeShade="A6"/>
        <w:sz w:val="12"/>
        <w:szCs w:val="12"/>
      </w:rPr>
      <w:t>Gessler</w:t>
    </w:r>
    <w:proofErr w:type="spellEnd"/>
    <w:r w:rsidRPr="0071289F">
      <w:rPr>
        <w:rStyle w:val="z5Blockade"/>
        <w:rFonts w:ascii="Arial" w:hAnsi="Arial" w:cs="Arial"/>
        <w:color w:val="A6A6A6" w:themeColor="background1" w:themeShade="A6"/>
        <w:sz w:val="12"/>
        <w:szCs w:val="12"/>
      </w:rPr>
      <w:t xml:space="preserve"> (Hrsg.)</w:t>
    </w:r>
    <w:r w:rsidRPr="0071289F">
      <w:rPr>
        <w:rStyle w:val="z5Blockade"/>
        <w:rFonts w:ascii="Arial" w:hAnsi="Arial" w:cs="Arial"/>
        <w:color w:val="A6A6A6" w:themeColor="background1" w:themeShade="A6"/>
        <w:sz w:val="12"/>
        <w:szCs w:val="12"/>
      </w:rPr>
      <w:t>, Kommentierte Musterklagen zum Gesellschaftsrecht und zum Geistigen Eigentum, Schulthess 201</w:t>
    </w:r>
    <w:r w:rsidR="00E6377C">
      <w:rPr>
        <w:rStyle w:val="z5Blockade"/>
        <w:rFonts w:ascii="Arial" w:hAnsi="Arial" w:cs="Arial"/>
        <w:color w:val="A6A6A6" w:themeColor="background1" w:themeShade="A6"/>
        <w:sz w:val="12"/>
        <w:szCs w:val="12"/>
      </w:rPr>
      <w:t>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9CC0" w14:textId="77777777" w:rsidR="0071289F" w:rsidRDefault="0071289F" w:rsidP="00527916">
    <w:pPr>
      <w:pStyle w:val="KeinAbsatzformat"/>
      <w:rPr>
        <w:rStyle w:val="z5Blockade"/>
        <w:rFonts w:ascii="Arial" w:hAnsi="Arial" w:cs="Arial"/>
        <w:color w:val="A6A6A6" w:themeColor="background1" w:themeShade="A6"/>
        <w:sz w:val="12"/>
        <w:szCs w:val="12"/>
      </w:rPr>
    </w:pPr>
  </w:p>
  <w:p w14:paraId="56246804" w14:textId="48C54B35" w:rsidR="00527916" w:rsidRPr="0071289F" w:rsidRDefault="00527916" w:rsidP="00527916">
    <w:pPr>
      <w:pStyle w:val="KeinAbsatzformat"/>
      <w:rPr>
        <w:rFonts w:ascii="Arial" w:hAnsi="Arial" w:cs="Arial"/>
        <w:color w:val="A6A6A6" w:themeColor="background1" w:themeShade="A6"/>
        <w:sz w:val="12"/>
        <w:szCs w:val="12"/>
      </w:rPr>
    </w:pPr>
    <w:r w:rsidRPr="0071289F">
      <w:rPr>
        <w:rStyle w:val="z5Blockade"/>
        <w:rFonts w:ascii="Arial" w:hAnsi="Arial" w:cs="Arial"/>
        <w:color w:val="A6A6A6" w:themeColor="background1" w:themeShade="A6"/>
        <w:sz w:val="12"/>
        <w:szCs w:val="12"/>
      </w:rPr>
      <w:t xml:space="preserve">Quelle: </w:t>
    </w:r>
    <w:r w:rsidRPr="0071289F">
      <w:rPr>
        <w:rStyle w:val="z5Blockade"/>
        <w:rFonts w:ascii="Arial" w:hAnsi="Arial" w:cs="Arial"/>
        <w:smallCaps/>
        <w:color w:val="A6A6A6" w:themeColor="background1" w:themeShade="A6"/>
        <w:sz w:val="12"/>
        <w:szCs w:val="12"/>
      </w:rPr>
      <w:t xml:space="preserve">Robert G. </w:t>
    </w:r>
    <w:proofErr w:type="spellStart"/>
    <w:r w:rsidRPr="0071289F">
      <w:rPr>
        <w:rStyle w:val="z5Blockade"/>
        <w:rFonts w:ascii="Arial" w:hAnsi="Arial" w:cs="Arial"/>
        <w:smallCaps/>
        <w:color w:val="A6A6A6" w:themeColor="background1" w:themeShade="A6"/>
        <w:sz w:val="12"/>
        <w:szCs w:val="12"/>
      </w:rPr>
      <w:t>Briner</w:t>
    </w:r>
    <w:proofErr w:type="spellEnd"/>
    <w:r w:rsidRPr="0071289F">
      <w:rPr>
        <w:rStyle w:val="z5Blockade"/>
        <w:rFonts w:ascii="Arial" w:hAnsi="Arial" w:cs="Arial"/>
        <w:smallCaps/>
        <w:color w:val="A6A6A6" w:themeColor="background1" w:themeShade="A6"/>
        <w:sz w:val="12"/>
        <w:szCs w:val="12"/>
      </w:rPr>
      <w:t>/Cornelia Hoffmann</w:t>
    </w:r>
    <w:r w:rsidRPr="0071289F">
      <w:rPr>
        <w:rStyle w:val="z5Blockade"/>
        <w:rFonts w:ascii="Arial" w:hAnsi="Arial" w:cs="Arial"/>
        <w:color w:val="A6A6A6" w:themeColor="background1" w:themeShade="A6"/>
        <w:sz w:val="12"/>
        <w:szCs w:val="12"/>
      </w:rPr>
      <w:t xml:space="preserve">, § 51 Vorsorgliche </w:t>
    </w:r>
    <w:proofErr w:type="spellStart"/>
    <w:r w:rsidRPr="0071289F">
      <w:rPr>
        <w:rStyle w:val="z5Blockade"/>
        <w:rFonts w:ascii="Arial" w:hAnsi="Arial" w:cs="Arial"/>
        <w:color w:val="A6A6A6" w:themeColor="background1" w:themeShade="A6"/>
        <w:sz w:val="12"/>
        <w:szCs w:val="12"/>
      </w:rPr>
      <w:t>Massnahmen</w:t>
    </w:r>
    <w:proofErr w:type="spellEnd"/>
    <w:r w:rsidRPr="0071289F">
      <w:rPr>
        <w:rStyle w:val="z5Blockade"/>
        <w:rFonts w:ascii="Arial" w:hAnsi="Arial" w:cs="Arial"/>
        <w:color w:val="A6A6A6" w:themeColor="background1" w:themeShade="A6"/>
        <w:sz w:val="12"/>
        <w:szCs w:val="12"/>
      </w:rPr>
      <w:t xml:space="preserve"> bei Patentverletzung, in: Fischer/</w:t>
    </w:r>
    <w:r w:rsidR="0071289F">
      <w:rPr>
        <w:rStyle w:val="z5Blockade"/>
        <w:rFonts w:ascii="Arial" w:hAnsi="Arial" w:cs="Arial"/>
        <w:color w:val="A6A6A6" w:themeColor="background1" w:themeShade="A6"/>
        <w:sz w:val="12"/>
        <w:szCs w:val="12"/>
      </w:rPr>
      <w:br/>
    </w:r>
    <w:proofErr w:type="spellStart"/>
    <w:r w:rsidRPr="0071289F">
      <w:rPr>
        <w:rStyle w:val="z5Blockade"/>
        <w:rFonts w:ascii="Arial" w:hAnsi="Arial" w:cs="Arial"/>
        <w:color w:val="A6A6A6" w:themeColor="background1" w:themeShade="A6"/>
        <w:sz w:val="12"/>
        <w:szCs w:val="12"/>
      </w:rPr>
      <w:t>Theus</w:t>
    </w:r>
    <w:proofErr w:type="spellEnd"/>
    <w:r w:rsidRPr="0071289F">
      <w:rPr>
        <w:rStyle w:val="z5Blockade"/>
        <w:rFonts w:ascii="Arial" w:hAnsi="Arial" w:cs="Arial"/>
        <w:color w:val="A6A6A6" w:themeColor="background1" w:themeShade="A6"/>
        <w:sz w:val="12"/>
        <w:szCs w:val="12"/>
      </w:rPr>
      <w:t xml:space="preserve"> </w:t>
    </w:r>
    <w:proofErr w:type="spellStart"/>
    <w:r w:rsidRPr="0071289F">
      <w:rPr>
        <w:rStyle w:val="z5Blockade"/>
        <w:rFonts w:ascii="Arial" w:hAnsi="Arial" w:cs="Arial"/>
        <w:color w:val="A6A6A6" w:themeColor="background1" w:themeShade="A6"/>
        <w:sz w:val="12"/>
        <w:szCs w:val="12"/>
      </w:rPr>
      <w:t>Simoni</w:t>
    </w:r>
    <w:proofErr w:type="spellEnd"/>
    <w:r w:rsidRPr="0071289F">
      <w:rPr>
        <w:rStyle w:val="z5Blockade"/>
        <w:rFonts w:ascii="Arial" w:hAnsi="Arial" w:cs="Arial"/>
        <w:color w:val="A6A6A6" w:themeColor="background1" w:themeShade="A6"/>
        <w:sz w:val="12"/>
        <w:szCs w:val="12"/>
      </w:rPr>
      <w:t>/</w:t>
    </w:r>
    <w:proofErr w:type="spellStart"/>
    <w:r w:rsidRPr="0071289F">
      <w:rPr>
        <w:rStyle w:val="z5Blockade"/>
        <w:rFonts w:ascii="Arial" w:hAnsi="Arial" w:cs="Arial"/>
        <w:color w:val="A6A6A6" w:themeColor="background1" w:themeShade="A6"/>
        <w:sz w:val="12"/>
        <w:szCs w:val="12"/>
      </w:rPr>
      <w:t>Gessler</w:t>
    </w:r>
    <w:proofErr w:type="spellEnd"/>
    <w:r w:rsidRPr="0071289F">
      <w:rPr>
        <w:rStyle w:val="z5Blockade"/>
        <w:rFonts w:ascii="Arial" w:hAnsi="Arial" w:cs="Arial"/>
        <w:color w:val="A6A6A6" w:themeColor="background1" w:themeShade="A6"/>
        <w:sz w:val="12"/>
        <w:szCs w:val="12"/>
      </w:rPr>
      <w:t xml:space="preserve"> (Hrsg.), Kommentierte Musterklagen zum Gesellschaftsrecht und zum Geistigen Eigentum, Schulthess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B4B6" w14:textId="77777777" w:rsidR="00527916" w:rsidRDefault="00527916" w:rsidP="00CF4D66">
      <w:pPr>
        <w:spacing w:after="0" w:line="240" w:lineRule="auto"/>
      </w:pPr>
      <w:r>
        <w:separator/>
      </w:r>
    </w:p>
  </w:footnote>
  <w:footnote w:type="continuationSeparator" w:id="0">
    <w:p w14:paraId="56131377" w14:textId="77777777" w:rsidR="00527916" w:rsidRDefault="00527916" w:rsidP="00CF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726C" w14:textId="77777777" w:rsidR="005C3B44" w:rsidRDefault="005C3B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AAE5" w14:textId="5E4F0DFC" w:rsidR="00527916" w:rsidRPr="00E85086" w:rsidRDefault="00527916" w:rsidP="0071289F">
    <w:pPr>
      <w:pStyle w:val="Kopfzeile"/>
      <w:jc w:val="right"/>
      <w:rPr>
        <w:rFonts w:ascii="Palatino Linotype" w:hAnsi="Palatino Linotyp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B3F6" w14:textId="77777777" w:rsidR="005C3B44" w:rsidRDefault="005C3B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9C5C81"/>
    <w:multiLevelType w:val="multilevel"/>
    <w:tmpl w:val="56D6E300"/>
    <w:lvl w:ilvl="0">
      <w:start w:val="1"/>
      <w:numFmt w:val="decimal"/>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3"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3"/>
  </w:num>
  <w:num w:numId="4">
    <w:abstractNumId w:val="23"/>
  </w:num>
  <w:num w:numId="5">
    <w:abstractNumId w:val="23"/>
    <w:lvlOverride w:ilvl="0">
      <w:startOverride w:val="1"/>
    </w:lvlOverride>
  </w:num>
  <w:num w:numId="6">
    <w:abstractNumId w:val="11"/>
  </w:num>
  <w:num w:numId="7">
    <w:abstractNumId w:val="13"/>
  </w:num>
  <w:num w:numId="8">
    <w:abstractNumId w:val="13"/>
  </w:num>
  <w:num w:numId="9">
    <w:abstractNumId w:val="25"/>
  </w:num>
  <w:num w:numId="10">
    <w:abstractNumId w:val="17"/>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19"/>
  </w:num>
  <w:num w:numId="27">
    <w:abstractNumId w:val="21"/>
  </w:num>
  <w:num w:numId="28">
    <w:abstractNumId w:val="18"/>
  </w:num>
  <w:num w:numId="29">
    <w:abstractNumId w:val="15"/>
  </w:num>
  <w:num w:numId="30">
    <w:abstractNumId w:val="10"/>
  </w:num>
  <w:num w:numId="31">
    <w:abstractNumId w:val="1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linkStyles/>
  <w:doNotTrackMoves/>
  <w:defaultTabStop w:val="708"/>
  <w:hyphenationZone w:val="425"/>
  <w:evenAndOddHeaders/>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160"/>
    <w:rsid w:val="00044473"/>
    <w:rsid w:val="00050913"/>
    <w:rsid w:val="000B7402"/>
    <w:rsid w:val="000D0D62"/>
    <w:rsid w:val="000D427A"/>
    <w:rsid w:val="000F6253"/>
    <w:rsid w:val="001049FC"/>
    <w:rsid w:val="0010556D"/>
    <w:rsid w:val="001524CE"/>
    <w:rsid w:val="001528F4"/>
    <w:rsid w:val="001571A1"/>
    <w:rsid w:val="001876AC"/>
    <w:rsid w:val="001C1B4B"/>
    <w:rsid w:val="00235C7A"/>
    <w:rsid w:val="00251C3D"/>
    <w:rsid w:val="00264182"/>
    <w:rsid w:val="002D7246"/>
    <w:rsid w:val="002E0D34"/>
    <w:rsid w:val="00317D28"/>
    <w:rsid w:val="00327ABF"/>
    <w:rsid w:val="0033781A"/>
    <w:rsid w:val="0034284E"/>
    <w:rsid w:val="00393F2E"/>
    <w:rsid w:val="003B0681"/>
    <w:rsid w:val="003F1222"/>
    <w:rsid w:val="00452946"/>
    <w:rsid w:val="00456F45"/>
    <w:rsid w:val="00470160"/>
    <w:rsid w:val="004A5A53"/>
    <w:rsid w:val="004E3B02"/>
    <w:rsid w:val="004E410B"/>
    <w:rsid w:val="004F55FF"/>
    <w:rsid w:val="0052393F"/>
    <w:rsid w:val="00526041"/>
    <w:rsid w:val="00527916"/>
    <w:rsid w:val="00534B57"/>
    <w:rsid w:val="00543BAE"/>
    <w:rsid w:val="00580917"/>
    <w:rsid w:val="005A62A2"/>
    <w:rsid w:val="005B0BC0"/>
    <w:rsid w:val="005C3B44"/>
    <w:rsid w:val="00654F3B"/>
    <w:rsid w:val="006A4D3D"/>
    <w:rsid w:val="006A692C"/>
    <w:rsid w:val="006B7FE5"/>
    <w:rsid w:val="006F28CE"/>
    <w:rsid w:val="007052AD"/>
    <w:rsid w:val="0071289F"/>
    <w:rsid w:val="007444C8"/>
    <w:rsid w:val="00753FC1"/>
    <w:rsid w:val="007558E2"/>
    <w:rsid w:val="00762565"/>
    <w:rsid w:val="007B0718"/>
    <w:rsid w:val="007E4A76"/>
    <w:rsid w:val="0080718F"/>
    <w:rsid w:val="0084553E"/>
    <w:rsid w:val="00866B7B"/>
    <w:rsid w:val="008A4F42"/>
    <w:rsid w:val="008E0B12"/>
    <w:rsid w:val="008E2C5B"/>
    <w:rsid w:val="008E3094"/>
    <w:rsid w:val="00915289"/>
    <w:rsid w:val="009152B7"/>
    <w:rsid w:val="00916BC4"/>
    <w:rsid w:val="00920391"/>
    <w:rsid w:val="00930ADB"/>
    <w:rsid w:val="0095345C"/>
    <w:rsid w:val="009D5F96"/>
    <w:rsid w:val="009F1B74"/>
    <w:rsid w:val="00A20F3B"/>
    <w:rsid w:val="00A67D2C"/>
    <w:rsid w:val="00AB3F53"/>
    <w:rsid w:val="00B02D7E"/>
    <w:rsid w:val="00B60D70"/>
    <w:rsid w:val="00B659E8"/>
    <w:rsid w:val="00B727F8"/>
    <w:rsid w:val="00B81079"/>
    <w:rsid w:val="00B86160"/>
    <w:rsid w:val="00B91466"/>
    <w:rsid w:val="00C042B9"/>
    <w:rsid w:val="00C4229D"/>
    <w:rsid w:val="00C870FE"/>
    <w:rsid w:val="00CA0D58"/>
    <w:rsid w:val="00CC6057"/>
    <w:rsid w:val="00CD319C"/>
    <w:rsid w:val="00CF44EB"/>
    <w:rsid w:val="00CF4D66"/>
    <w:rsid w:val="00D149F2"/>
    <w:rsid w:val="00D64CDC"/>
    <w:rsid w:val="00D72AEA"/>
    <w:rsid w:val="00D97A14"/>
    <w:rsid w:val="00DE1B82"/>
    <w:rsid w:val="00E02543"/>
    <w:rsid w:val="00E368C7"/>
    <w:rsid w:val="00E6377C"/>
    <w:rsid w:val="00E77F59"/>
    <w:rsid w:val="00E85086"/>
    <w:rsid w:val="00EB261E"/>
    <w:rsid w:val="00F01CC3"/>
    <w:rsid w:val="00F41548"/>
    <w:rsid w:val="00F416AE"/>
    <w:rsid w:val="00F46C23"/>
    <w:rsid w:val="00FB3EC4"/>
    <w:rsid w:val="00FC7D3B"/>
    <w:rsid w:val="00FE782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E3C5"/>
  <w15:docId w15:val="{EB11E38C-8C8B-42A9-97D5-F545BACA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B44"/>
    <w:pPr>
      <w:spacing w:after="160" w:line="259" w:lineRule="auto"/>
    </w:pPr>
    <w:rPr>
      <w:rFonts w:asciiTheme="minorHAnsi" w:hAnsiTheme="minorHAnsi"/>
      <w:sz w:val="22"/>
    </w:rPr>
  </w:style>
  <w:style w:type="paragraph" w:styleId="berschrift1">
    <w:name w:val="heading 1"/>
    <w:basedOn w:val="Standard"/>
    <w:next w:val="Standard"/>
    <w:link w:val="berschrift1Zchn"/>
    <w:autoRedefine/>
    <w:uiPriority w:val="9"/>
    <w:qFormat/>
    <w:rsid w:val="000D427A"/>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0D427A"/>
    <w:pPr>
      <w:keepNext/>
      <w:keepLines/>
      <w:numPr>
        <w:ilvl w:val="1"/>
        <w:numId w:val="1"/>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0D427A"/>
    <w:pPr>
      <w:keepNext/>
      <w:keepLines/>
      <w:numPr>
        <w:ilvl w:val="2"/>
        <w:numId w:val="1"/>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0D427A"/>
    <w:pPr>
      <w:keepNext/>
      <w:keepLines/>
      <w:numPr>
        <w:ilvl w:val="3"/>
        <w:numId w:val="1"/>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0D427A"/>
    <w:pPr>
      <w:keepNext/>
      <w:keepLines/>
      <w:numPr>
        <w:ilvl w:val="4"/>
        <w:numId w:val="1"/>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0D427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rsid w:val="005C3B4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C3B44"/>
  </w:style>
  <w:style w:type="paragraph" w:styleId="KeinLeerraum">
    <w:name w:val="No Spacing"/>
    <w:uiPriority w:val="1"/>
    <w:qFormat/>
    <w:rsid w:val="002D7246"/>
    <w:pPr>
      <w:spacing w:after="0" w:line="240" w:lineRule="auto"/>
    </w:pPr>
  </w:style>
  <w:style w:type="character" w:customStyle="1" w:styleId="berschrift1Zchn">
    <w:name w:val="Überschrift 1 Zchn"/>
    <w:basedOn w:val="Absatz-Standardschriftart"/>
    <w:link w:val="berschrift1"/>
    <w:uiPriority w:val="9"/>
    <w:rsid w:val="000D427A"/>
    <w:rPr>
      <w:rFonts w:ascii="Calibri" w:eastAsiaTheme="majorEastAsia" w:hAnsi="Calibri" w:cstheme="majorBidi"/>
      <w:b/>
      <w:sz w:val="32"/>
      <w:szCs w:val="32"/>
    </w:rPr>
  </w:style>
  <w:style w:type="character" w:customStyle="1" w:styleId="berschrift2Zchn">
    <w:name w:val="Überschrift 2 Zchn"/>
    <w:basedOn w:val="Absatz-Standardschriftart"/>
    <w:link w:val="berschrift2"/>
    <w:uiPriority w:val="9"/>
    <w:rsid w:val="000D427A"/>
    <w:rPr>
      <w:rFonts w:ascii="Calibri" w:eastAsiaTheme="majorEastAsia" w:hAnsi="Calibri" w:cstheme="majorBidi"/>
      <w:b/>
      <w:sz w:val="24"/>
      <w:szCs w:val="26"/>
    </w:rPr>
  </w:style>
  <w:style w:type="character" w:customStyle="1" w:styleId="berschrift3Zchn">
    <w:name w:val="Überschrift 3 Zchn"/>
    <w:basedOn w:val="Absatz-Standardschriftart"/>
    <w:link w:val="berschrift3"/>
    <w:uiPriority w:val="9"/>
    <w:rsid w:val="000D427A"/>
    <w:rPr>
      <w:rFonts w:ascii="Calibri" w:eastAsiaTheme="majorEastAsia" w:hAnsi="Calibri" w:cstheme="majorBidi"/>
      <w:b/>
      <w:szCs w:val="24"/>
    </w:rPr>
  </w:style>
  <w:style w:type="character" w:customStyle="1" w:styleId="berschrift4Zchn">
    <w:name w:val="Überschrift 4 Zchn"/>
    <w:basedOn w:val="Absatz-Standardschriftart"/>
    <w:link w:val="berschrift4"/>
    <w:uiPriority w:val="9"/>
    <w:rsid w:val="000D427A"/>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0D427A"/>
    <w:rPr>
      <w:rFonts w:ascii="Calibri" w:eastAsiaTheme="majorEastAsia" w:hAnsi="Calibri" w:cstheme="majorBidi"/>
      <w:sz w:val="18"/>
    </w:rPr>
  </w:style>
  <w:style w:type="paragraph" w:customStyle="1" w:styleId="Text">
    <w:name w:val="Text"/>
    <w:basedOn w:val="Standard"/>
    <w:next w:val="Randziffer"/>
    <w:autoRedefine/>
    <w:qFormat/>
    <w:rsid w:val="000D427A"/>
    <w:pPr>
      <w:spacing w:before="120" w:after="120" w:line="240" w:lineRule="auto"/>
      <w:jc w:val="both"/>
    </w:pPr>
    <w:rPr>
      <w:rFonts w:ascii="Palatino Linotype" w:hAnsi="Palatino Linotype"/>
      <w:sz w:val="18"/>
    </w:rPr>
  </w:style>
  <w:style w:type="character" w:customStyle="1" w:styleId="fettMuster">
    <w:name w:val="_fett_Muster"/>
    <w:basedOn w:val="fett"/>
    <w:uiPriority w:val="1"/>
    <w:qFormat/>
    <w:rsid w:val="000D427A"/>
    <w:rPr>
      <w:rFonts w:ascii="Calibri" w:hAnsi="Calibri"/>
      <w:b/>
      <w:sz w:val="18"/>
    </w:rPr>
  </w:style>
  <w:style w:type="paragraph" w:customStyle="1" w:styleId="BoxKopf">
    <w:name w:val="Box_Kopf"/>
    <w:basedOn w:val="Standard"/>
    <w:next w:val="RandzifferMuster"/>
    <w:autoRedefine/>
    <w:qFormat/>
    <w:rsid w:val="000D427A"/>
    <w:pPr>
      <w:pBdr>
        <w:top w:val="single" w:sz="6" w:space="1" w:color="auto"/>
        <w:left w:val="single" w:sz="6" w:space="4" w:color="auto"/>
        <w:right w:val="single" w:sz="6" w:space="4" w:color="auto"/>
      </w:pBdr>
      <w:shd w:val="pct10" w:color="auto" w:fill="auto"/>
      <w:spacing w:after="0" w:line="240" w:lineRule="auto"/>
      <w:jc w:val="both"/>
    </w:pPr>
    <w:rPr>
      <w:rFonts w:ascii="Tahoma" w:hAnsi="Tahoma"/>
      <w:sz w:val="18"/>
    </w:rPr>
  </w:style>
  <w:style w:type="paragraph" w:customStyle="1" w:styleId="Mustertext">
    <w:name w:val="Mustertext"/>
    <w:basedOn w:val="Standard"/>
    <w:autoRedefine/>
    <w:qFormat/>
    <w:rsid w:val="000D427A"/>
    <w:pPr>
      <w:pBdr>
        <w:left w:val="single" w:sz="6" w:space="4" w:color="auto"/>
        <w:right w:val="single" w:sz="6" w:space="4" w:color="auto"/>
      </w:pBdr>
      <w:shd w:val="pct10" w:color="auto" w:fill="auto"/>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0D427A"/>
    <w:pPr>
      <w:pBdr>
        <w:bottom w:val="single" w:sz="6" w:space="1" w:color="auto"/>
      </w:pBdr>
    </w:pPr>
  </w:style>
  <w:style w:type="paragraph" w:customStyle="1" w:styleId="Mustertextklein">
    <w:name w:val="Mustertext_klein"/>
    <w:basedOn w:val="Mustertext"/>
    <w:autoRedefine/>
    <w:qFormat/>
    <w:rsid w:val="000D427A"/>
    <w:pPr>
      <w:tabs>
        <w:tab w:val="clear" w:pos="284"/>
      </w:tabs>
      <w:spacing w:before="120"/>
      <w:ind w:left="567" w:hanging="567"/>
    </w:pPr>
    <w:rPr>
      <w:i/>
      <w:sz w:val="16"/>
    </w:rPr>
  </w:style>
  <w:style w:type="paragraph" w:customStyle="1" w:styleId="Autor">
    <w:name w:val="Autor"/>
    <w:basedOn w:val="Standard"/>
    <w:next w:val="Standard"/>
    <w:autoRedefine/>
    <w:qFormat/>
    <w:rsid w:val="000D427A"/>
    <w:rPr>
      <w:rFonts w:ascii="Palatino Linotype" w:hAnsi="Palatino Linotype" w:cs="Arial"/>
      <w:smallCaps/>
      <w:color w:val="FFFFFF" w:themeColor="background1"/>
      <w:sz w:val="20"/>
      <w:szCs w:val="16"/>
    </w:rPr>
  </w:style>
  <w:style w:type="paragraph" w:customStyle="1" w:styleId="Randziffer">
    <w:name w:val="Randziffer"/>
    <w:basedOn w:val="Standard"/>
    <w:next w:val="Text"/>
    <w:autoRedefine/>
    <w:uiPriority w:val="99"/>
    <w:rsid w:val="000D427A"/>
    <w:pPr>
      <w:framePr w:hSpace="199" w:wrap="around" w:vAnchor="text" w:hAnchor="page" w:xAlign="outside" w:y="1" w:anchorLock="1"/>
      <w:numPr>
        <w:numId w:val="2"/>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0D427A"/>
    <w:pPr>
      <w:framePr w:hSpace="198" w:wrap="around" w:y="-283"/>
      <w:jc w:val="left"/>
    </w:pPr>
  </w:style>
  <w:style w:type="paragraph" w:customStyle="1" w:styleId="MustertextListe0">
    <w:name w:val="Mustertext_Liste"/>
    <w:basedOn w:val="Standard"/>
    <w:autoRedefine/>
    <w:qFormat/>
    <w:rsid w:val="000D427A"/>
    <w:pPr>
      <w:numPr>
        <w:ilvl w:val="1"/>
        <w:numId w:val="27"/>
      </w:numPr>
      <w:pBdr>
        <w:left w:val="single" w:sz="6" w:space="4" w:color="auto"/>
        <w:right w:val="single" w:sz="6" w:space="4" w:color="auto"/>
      </w:pBdr>
      <w:shd w:val="pct10" w:color="auto" w:fill="auto"/>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0D427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styleId="Kommentarzeichen">
    <w:name w:val="annotation reference"/>
    <w:basedOn w:val="Absatz-Standardschriftart"/>
    <w:uiPriority w:val="99"/>
    <w:semiHidden/>
    <w:unhideWhenUsed/>
    <w:rsid w:val="00B86160"/>
    <w:rPr>
      <w:sz w:val="16"/>
      <w:szCs w:val="16"/>
    </w:rPr>
  </w:style>
  <w:style w:type="paragraph" w:styleId="Kommentartext">
    <w:name w:val="annotation text"/>
    <w:basedOn w:val="Standard"/>
    <w:link w:val="KommentartextZchn"/>
    <w:uiPriority w:val="99"/>
    <w:semiHidden/>
    <w:unhideWhenUsed/>
    <w:rsid w:val="00B861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160"/>
    <w:rPr>
      <w:rFonts w:asciiTheme="minorHAnsi" w:hAnsiTheme="minorHAnsi"/>
      <w:sz w:val="20"/>
      <w:szCs w:val="20"/>
    </w:rPr>
  </w:style>
  <w:style w:type="paragraph" w:styleId="Sprechblasentext">
    <w:name w:val="Balloon Text"/>
    <w:basedOn w:val="Standard"/>
    <w:link w:val="SprechblasentextZchn"/>
    <w:uiPriority w:val="99"/>
    <w:semiHidden/>
    <w:unhideWhenUsed/>
    <w:rsid w:val="00B86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16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F28CE"/>
    <w:pPr>
      <w:spacing w:after="200"/>
    </w:pPr>
    <w:rPr>
      <w:rFonts w:ascii="Arial" w:hAnsi="Arial"/>
      <w:b/>
      <w:bCs/>
    </w:rPr>
  </w:style>
  <w:style w:type="character" w:customStyle="1" w:styleId="KommentarthemaZchn">
    <w:name w:val="Kommentarthema Zchn"/>
    <w:basedOn w:val="KommentartextZchn"/>
    <w:link w:val="Kommentarthema"/>
    <w:uiPriority w:val="99"/>
    <w:semiHidden/>
    <w:rsid w:val="006F28CE"/>
    <w:rPr>
      <w:rFonts w:asciiTheme="minorHAnsi" w:hAnsiTheme="minorHAnsi"/>
      <w:b/>
      <w:bCs/>
      <w:sz w:val="20"/>
      <w:szCs w:val="20"/>
    </w:rPr>
  </w:style>
  <w:style w:type="character" w:customStyle="1" w:styleId="berschrift6Zchn">
    <w:name w:val="Überschrift 6 Zchn"/>
    <w:basedOn w:val="Absatz-Standardschriftart"/>
    <w:link w:val="berschrift6"/>
    <w:uiPriority w:val="9"/>
    <w:rsid w:val="000D427A"/>
    <w:rPr>
      <w:rFonts w:asciiTheme="majorHAnsi" w:eastAsiaTheme="majorEastAsia" w:hAnsiTheme="majorHAnsi" w:cstheme="majorBidi"/>
      <w:color w:val="243F60" w:themeColor="accent1" w:themeShade="7F"/>
      <w:sz w:val="22"/>
    </w:rPr>
  </w:style>
  <w:style w:type="paragraph" w:styleId="Kopfzeile">
    <w:name w:val="header"/>
    <w:basedOn w:val="Standard"/>
    <w:link w:val="KopfzeileZchn"/>
    <w:uiPriority w:val="99"/>
    <w:unhideWhenUsed/>
    <w:rsid w:val="000D427A"/>
    <w:pPr>
      <w:tabs>
        <w:tab w:val="left" w:pos="425"/>
      </w:tabs>
      <w:spacing w:after="0" w:line="240" w:lineRule="auto"/>
    </w:pPr>
  </w:style>
  <w:style w:type="character" w:customStyle="1" w:styleId="KopfzeileZchn">
    <w:name w:val="Kopfzeile Zchn"/>
    <w:basedOn w:val="Absatz-Standardschriftart"/>
    <w:link w:val="Kopfzeile"/>
    <w:uiPriority w:val="99"/>
    <w:rsid w:val="000D427A"/>
    <w:rPr>
      <w:rFonts w:asciiTheme="minorHAnsi" w:hAnsiTheme="minorHAnsi"/>
      <w:sz w:val="22"/>
    </w:rPr>
  </w:style>
  <w:style w:type="paragraph" w:styleId="Fuzeile">
    <w:name w:val="footer"/>
    <w:basedOn w:val="Standard"/>
    <w:link w:val="FuzeileZchn"/>
    <w:uiPriority w:val="99"/>
    <w:unhideWhenUsed/>
    <w:rsid w:val="000D427A"/>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0D427A"/>
    <w:rPr>
      <w:rFonts w:ascii="Palatino Linotype" w:hAnsi="Palatino Linotype"/>
      <w:smallCaps/>
      <w:sz w:val="18"/>
    </w:rPr>
  </w:style>
  <w:style w:type="character" w:customStyle="1" w:styleId="fett">
    <w:name w:val="_fett"/>
    <w:basedOn w:val="Absatz-Standardschriftart"/>
    <w:uiPriority w:val="1"/>
    <w:qFormat/>
    <w:rsid w:val="000D427A"/>
    <w:rPr>
      <w:rFonts w:ascii="Palatino Linotype" w:hAnsi="Palatino Linotype"/>
      <w:b/>
      <w:sz w:val="18"/>
    </w:rPr>
  </w:style>
  <w:style w:type="paragraph" w:styleId="Funotentext">
    <w:name w:val="footnote text"/>
    <w:basedOn w:val="Standard"/>
    <w:link w:val="FunotentextZchn"/>
    <w:autoRedefine/>
    <w:uiPriority w:val="99"/>
    <w:unhideWhenUsed/>
    <w:qFormat/>
    <w:rsid w:val="000D427A"/>
    <w:pPr>
      <w:spacing w:after="0" w:line="240" w:lineRule="auto"/>
      <w:ind w:left="102" w:hanging="102"/>
      <w:jc w:val="both"/>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0D427A"/>
    <w:rPr>
      <w:rFonts w:ascii="Palatino Linotype" w:hAnsi="Palatino Linotype"/>
      <w:sz w:val="16"/>
      <w:szCs w:val="20"/>
    </w:rPr>
  </w:style>
  <w:style w:type="character" w:styleId="Funotenzeichen">
    <w:name w:val="footnote reference"/>
    <w:basedOn w:val="Absatz-Standardschriftart"/>
    <w:uiPriority w:val="99"/>
    <w:semiHidden/>
    <w:unhideWhenUsed/>
    <w:rsid w:val="000D427A"/>
    <w:rPr>
      <w:vertAlign w:val="superscript"/>
    </w:rPr>
  </w:style>
  <w:style w:type="character" w:customStyle="1" w:styleId="kursivMuster">
    <w:name w:val="_kursiv_Muster"/>
    <w:basedOn w:val="fettMuster"/>
    <w:uiPriority w:val="1"/>
    <w:qFormat/>
    <w:rsid w:val="000D427A"/>
    <w:rPr>
      <w:rFonts w:ascii="Calibri" w:hAnsi="Calibri"/>
      <w:b w:val="0"/>
      <w:i/>
      <w:sz w:val="18"/>
    </w:rPr>
  </w:style>
  <w:style w:type="character" w:customStyle="1" w:styleId="kursiv">
    <w:name w:val="_kursiv"/>
    <w:basedOn w:val="Absatz-Standardschriftart"/>
    <w:uiPriority w:val="1"/>
    <w:qFormat/>
    <w:rsid w:val="000D427A"/>
    <w:rPr>
      <w:rFonts w:ascii="Palatino Linotype" w:hAnsi="Palatino Linotype"/>
      <w:i/>
      <w:sz w:val="18"/>
    </w:rPr>
  </w:style>
  <w:style w:type="paragraph" w:customStyle="1" w:styleId="Liste">
    <w:name w:val="Liste –"/>
    <w:basedOn w:val="Text"/>
    <w:qFormat/>
    <w:rsid w:val="000D427A"/>
    <w:pPr>
      <w:numPr>
        <w:numId w:val="24"/>
      </w:numPr>
      <w:spacing w:before="60" w:after="60"/>
      <w:ind w:left="284" w:hanging="284"/>
      <w:contextualSpacing/>
    </w:pPr>
  </w:style>
  <w:style w:type="paragraph" w:customStyle="1" w:styleId="Listei">
    <w:name w:val="Liste i)"/>
    <w:basedOn w:val="Liste"/>
    <w:qFormat/>
    <w:rsid w:val="000D427A"/>
    <w:pPr>
      <w:numPr>
        <w:numId w:val="25"/>
      </w:numPr>
      <w:ind w:left="568" w:hanging="284"/>
    </w:pPr>
  </w:style>
  <w:style w:type="character" w:styleId="Platzhaltertext">
    <w:name w:val="Placeholder Text"/>
    <w:basedOn w:val="Absatz-Standardschriftart"/>
    <w:uiPriority w:val="99"/>
    <w:semiHidden/>
    <w:rsid w:val="000D427A"/>
    <w:rPr>
      <w:color w:val="808080"/>
    </w:rPr>
  </w:style>
  <w:style w:type="character" w:customStyle="1" w:styleId="kapitlchen">
    <w:name w:val="_kapitälchen"/>
    <w:basedOn w:val="kursiv"/>
    <w:uiPriority w:val="1"/>
    <w:qFormat/>
    <w:rsid w:val="000D427A"/>
    <w:rPr>
      <w:rFonts w:ascii="Palatino Linotype" w:hAnsi="Palatino Linotype"/>
      <w:i w:val="0"/>
      <w:caps w:val="0"/>
      <w:smallCaps/>
      <w:sz w:val="18"/>
    </w:rPr>
  </w:style>
  <w:style w:type="character" w:customStyle="1" w:styleId="kapitlchenMuster">
    <w:name w:val="_kapitälchen_Muster"/>
    <w:basedOn w:val="fettMuster"/>
    <w:uiPriority w:val="1"/>
    <w:qFormat/>
    <w:rsid w:val="000D427A"/>
    <w:rPr>
      <w:rFonts w:ascii="Calibri" w:hAnsi="Calibri"/>
      <w:b w:val="0"/>
      <w:caps w:val="0"/>
      <w:smallCaps/>
      <w:sz w:val="18"/>
    </w:rPr>
  </w:style>
  <w:style w:type="paragraph" w:customStyle="1" w:styleId="MustertextListeI">
    <w:name w:val="Mustertext_Liste_I"/>
    <w:basedOn w:val="MustertextListe0"/>
    <w:qFormat/>
    <w:rsid w:val="000D427A"/>
    <w:pPr>
      <w:numPr>
        <w:ilvl w:val="0"/>
      </w:numPr>
    </w:pPr>
  </w:style>
  <w:style w:type="paragraph" w:customStyle="1" w:styleId="MustertextListea">
    <w:name w:val="Mustertext_Liste_a"/>
    <w:basedOn w:val="MustertextListeI"/>
    <w:autoRedefine/>
    <w:qFormat/>
    <w:rsid w:val="000D427A"/>
    <w:pPr>
      <w:numPr>
        <w:ilvl w:val="2"/>
      </w:numPr>
      <w:tabs>
        <w:tab w:val="clear" w:pos="567"/>
      </w:tabs>
    </w:pPr>
  </w:style>
  <w:style w:type="paragraph" w:customStyle="1" w:styleId="MustertextListe">
    <w:name w:val="Mustertext_Liste –"/>
    <w:basedOn w:val="MustertextListe0"/>
    <w:autoRedefine/>
    <w:qFormat/>
    <w:rsid w:val="000D427A"/>
    <w:pPr>
      <w:numPr>
        <w:ilvl w:val="0"/>
        <w:numId w:val="30"/>
      </w:numPr>
      <w:ind w:left="284" w:hanging="284"/>
    </w:pPr>
  </w:style>
  <w:style w:type="paragraph" w:customStyle="1" w:styleId="MustertextBO">
    <w:name w:val="Mustertext_BO"/>
    <w:basedOn w:val="Mustertext"/>
    <w:autoRedefine/>
    <w:qFormat/>
    <w:rsid w:val="000D427A"/>
    <w:pPr>
      <w:tabs>
        <w:tab w:val="clear" w:pos="284"/>
      </w:tabs>
      <w:spacing w:after="0"/>
      <w:ind w:left="907" w:hanging="907"/>
    </w:pPr>
  </w:style>
  <w:style w:type="paragraph" w:customStyle="1" w:styleId="MustertextTitel">
    <w:name w:val="Mustertext_Titel"/>
    <w:basedOn w:val="Mustertext"/>
    <w:autoRedefine/>
    <w:qFormat/>
    <w:rsid w:val="00E02543"/>
    <w:pPr>
      <w:spacing w:before="120"/>
    </w:pPr>
    <w:rPr>
      <w:b/>
    </w:rPr>
  </w:style>
  <w:style w:type="paragraph" w:customStyle="1" w:styleId="MustertextTitelEbene1">
    <w:name w:val="Mustertext_Titel_Ebene_1"/>
    <w:basedOn w:val="Mustertext"/>
    <w:autoRedefine/>
    <w:qFormat/>
    <w:rsid w:val="000D427A"/>
    <w:pPr>
      <w:spacing w:before="120"/>
      <w:contextualSpacing/>
    </w:pPr>
    <w:rPr>
      <w:b/>
    </w:rPr>
  </w:style>
  <w:style w:type="paragraph" w:customStyle="1" w:styleId="MustertextTitelEbene5">
    <w:name w:val="Mustertext_Titel_Ebene_5"/>
    <w:basedOn w:val="MustertextTitelEbene1"/>
    <w:next w:val="Mustertext"/>
    <w:autoRedefine/>
    <w:qFormat/>
    <w:rsid w:val="000D427A"/>
    <w:rPr>
      <w:b w:val="0"/>
    </w:rPr>
  </w:style>
  <w:style w:type="paragraph" w:customStyle="1" w:styleId="MustertextTitelEbene2">
    <w:name w:val="Mustertext_Titel_Ebene_2"/>
    <w:basedOn w:val="MustertextTitelEbene1"/>
    <w:next w:val="Mustertext"/>
    <w:autoRedefine/>
    <w:qFormat/>
    <w:rsid w:val="000D427A"/>
  </w:style>
  <w:style w:type="paragraph" w:customStyle="1" w:styleId="MustertextTitelEbene3">
    <w:name w:val="Mustertext_Titel_Ebene_3"/>
    <w:basedOn w:val="MustertextTitelEbene1"/>
    <w:next w:val="Mustertext"/>
    <w:qFormat/>
    <w:rsid w:val="000D427A"/>
  </w:style>
  <w:style w:type="paragraph" w:customStyle="1" w:styleId="MustertextTitelEbene4">
    <w:name w:val="Mustertext_Titel_Ebene_4"/>
    <w:basedOn w:val="MustertextTitelEbene1"/>
    <w:next w:val="Mustertext"/>
    <w:qFormat/>
    <w:rsid w:val="000D427A"/>
  </w:style>
  <w:style w:type="paragraph" w:customStyle="1" w:styleId="KeinAbsatzformat">
    <w:name w:val="[Kein Absatzformat]"/>
    <w:rsid w:val="00527916"/>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z5Blockade">
    <w:name w:val="z5_Blockade"/>
    <w:uiPriority w:val="99"/>
    <w:rsid w:val="00527916"/>
    <w:rPr>
      <w:rFonts w:ascii="ZapfDingbatsITC" w:hAnsi="ZapfDingbatsITC" w:cs="ZapfDingbatsIT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13713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CMS von Erlach Poncet AG</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 von Erlach Poncet</dc:creator>
  <cp:lastModifiedBy>Satz WindowsPC</cp:lastModifiedBy>
  <cp:revision>20</cp:revision>
  <cp:lastPrinted>2019-09-17T04:35:00Z</cp:lastPrinted>
  <dcterms:created xsi:type="dcterms:W3CDTF">2016-07-27T09:11:00Z</dcterms:created>
  <dcterms:modified xsi:type="dcterms:W3CDTF">2019-09-17T04:36:00Z</dcterms:modified>
</cp:coreProperties>
</file>